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FBC08F6"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44237C" w:rsidRPr="0044237C">
        <w:rPr>
          <w:rFonts w:ascii="Arial" w:eastAsia="Times New Roman" w:hAnsi="Arial" w:cs="Arial"/>
          <w:iCs/>
          <w:sz w:val="20"/>
          <w:szCs w:val="20"/>
          <w:lang w:eastAsia="ar-SA"/>
        </w:rPr>
        <w:t>FEMP.02.25-IZ.00-106/24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5401141A" w:rsidR="009B3126" w:rsidRDefault="009B3126" w:rsidP="009B3126">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2 </w:t>
      </w:r>
      <w:r w:rsidRPr="00F90E77">
        <w:rPr>
          <w:rFonts w:ascii="Arial" w:eastAsia="Times New Roman" w:hAnsi="Arial" w:cs="Arial"/>
          <w:sz w:val="24"/>
          <w:szCs w:val="24"/>
          <w:lang w:eastAsia="ar-SA"/>
        </w:rPr>
        <w:t xml:space="preserve">Fundusze europejskie dla </w:t>
      </w:r>
      <w:r>
        <w:rPr>
          <w:rFonts w:ascii="Arial" w:eastAsia="Times New Roman" w:hAnsi="Arial" w:cs="Arial"/>
          <w:sz w:val="24"/>
          <w:szCs w:val="24"/>
          <w:lang w:eastAsia="ar-SA"/>
        </w:rPr>
        <w:t>środowiska, Działania 2.</w:t>
      </w:r>
      <w:r w:rsidRPr="009B3126">
        <w:rPr>
          <w:rFonts w:ascii="Arial" w:eastAsia="Times New Roman" w:hAnsi="Arial" w:cs="Arial"/>
          <w:sz w:val="24"/>
          <w:szCs w:val="24"/>
          <w:lang w:eastAsia="ar-SA"/>
        </w:rPr>
        <w:t>25 Rozwijanie systemu gospodarki odpadami - ZIT</w:t>
      </w:r>
      <w:r>
        <w:rPr>
          <w:rFonts w:ascii="Arial" w:eastAsia="Times New Roman" w:hAnsi="Arial" w:cs="Arial"/>
          <w:sz w:val="24"/>
          <w:szCs w:val="24"/>
          <w:lang w:eastAsia="ar-SA"/>
        </w:rPr>
        <w:t xml:space="preserve">, typ projektu A </w:t>
      </w:r>
      <w:r w:rsidRPr="009B3126">
        <w:rPr>
          <w:rFonts w:ascii="Arial" w:eastAsia="Times New Roman" w:hAnsi="Arial" w:cs="Arial"/>
          <w:sz w:val="24"/>
          <w:szCs w:val="24"/>
          <w:lang w:eastAsia="ar-SA"/>
        </w:rPr>
        <w:t>Budowa, rozbudowa, przebudowa punktów selektywnego zbierania odpadów</w:t>
      </w:r>
      <w:r>
        <w:rPr>
          <w:rFonts w:ascii="Arial" w:eastAsia="Times New Roman" w:hAnsi="Arial" w:cs="Arial"/>
          <w:sz w:val="24"/>
          <w:szCs w:val="24"/>
          <w:lang w:eastAsia="ar-SA"/>
        </w:rPr>
        <w:t xml:space="preserve"> </w:t>
      </w:r>
      <w:r w:rsidRPr="009B3126">
        <w:rPr>
          <w:rFonts w:ascii="Arial" w:eastAsia="Times New Roman" w:hAnsi="Arial" w:cs="Arial"/>
          <w:sz w:val="24"/>
          <w:szCs w:val="24"/>
          <w:lang w:eastAsia="ar-SA"/>
        </w:rPr>
        <w:t>komunalnych</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24F50DA6" w14:textId="77777777"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47B7E670" w14:textId="680A04EE"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0DD25CC1" w14:textId="77777777" w:rsidR="0083644B" w:rsidRPr="003E752C" w:rsidRDefault="0083644B" w:rsidP="00524CC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Wnioskodawcami mogą być także związki i stowarzyszenia jst.</w:t>
      </w:r>
    </w:p>
    <w:p w14:paraId="58862C85" w14:textId="40A2BE09"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usługi publiczne w ramach realizacji obowiązków własnych jednostek samorządu terytorialnego, </w:t>
      </w:r>
    </w:p>
    <w:p w14:paraId="6E2D5698" w14:textId="77777777"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0FE576FC" w14:textId="29A2561C" w:rsid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6E4EF491" w14:textId="77777777" w:rsidR="009B3126" w:rsidRDefault="009B3126">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444D8E0A" w:rsidR="00674AD3" w:rsidRDefault="00674AD3" w:rsidP="002D3ABC">
      <w:pPr>
        <w:pStyle w:val="Nagwek3"/>
      </w:pPr>
      <w:r>
        <w:lastRenderedPageBreak/>
        <w:t>Termin naboru</w:t>
      </w:r>
    </w:p>
    <w:p w14:paraId="4D3A1AF2" w14:textId="68530C3A" w:rsidR="003A6E1D" w:rsidRPr="003A0DDE" w:rsidRDefault="009B3126">
      <w:pPr>
        <w:rPr>
          <w:rFonts w:ascii="Arial" w:eastAsia="Times New Roman" w:hAnsi="Arial" w:cs="Arial"/>
          <w:color w:val="FF0000"/>
          <w:sz w:val="24"/>
          <w:szCs w:val="24"/>
          <w:lang w:eastAsia="ar-SA"/>
        </w:rPr>
      </w:pPr>
      <w:r>
        <w:rPr>
          <w:rFonts w:ascii="Arial" w:eastAsia="Times New Roman" w:hAnsi="Arial" w:cs="Arial"/>
          <w:sz w:val="24"/>
          <w:szCs w:val="24"/>
          <w:lang w:eastAsia="ar-SA"/>
        </w:rPr>
        <w:t>29.11</w:t>
      </w:r>
      <w:r w:rsidR="003A6E1D">
        <w:rPr>
          <w:rFonts w:ascii="Arial" w:eastAsia="Times New Roman" w:hAnsi="Arial" w:cs="Arial"/>
          <w:sz w:val="24"/>
          <w:szCs w:val="24"/>
          <w:lang w:eastAsia="ar-SA"/>
        </w:rPr>
        <w:t xml:space="preserve">.2024 r. – </w:t>
      </w:r>
      <w:r w:rsidR="003A0DDE" w:rsidRPr="003A0DDE">
        <w:rPr>
          <w:rFonts w:ascii="Arial" w:eastAsia="Times New Roman" w:hAnsi="Arial" w:cs="Arial"/>
          <w:color w:val="FF0000"/>
          <w:sz w:val="24"/>
          <w:szCs w:val="24"/>
          <w:lang w:eastAsia="ar-SA"/>
        </w:rPr>
        <w:t>07.03</w:t>
      </w:r>
      <w:r w:rsidRPr="003A0DDE">
        <w:rPr>
          <w:rFonts w:ascii="Arial" w:eastAsia="Times New Roman" w:hAnsi="Arial" w:cs="Arial"/>
          <w:color w:val="FF0000"/>
          <w:sz w:val="24"/>
          <w:szCs w:val="24"/>
          <w:lang w:eastAsia="ar-SA"/>
        </w:rPr>
        <w:t>.2025</w:t>
      </w:r>
      <w:r w:rsidR="003A6E1D" w:rsidRPr="003A0DDE">
        <w:rPr>
          <w:rFonts w:ascii="Arial" w:eastAsia="Times New Roman" w:hAnsi="Arial" w:cs="Arial"/>
          <w:color w:val="FF0000"/>
          <w:sz w:val="24"/>
          <w:szCs w:val="24"/>
          <w:lang w:eastAsia="ar-SA"/>
        </w:rPr>
        <w:t xml:space="preserve"> r.</w:t>
      </w:r>
      <w:bookmarkStart w:id="0" w:name="_GoBack"/>
      <w:bookmarkEnd w:id="0"/>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43466D9D" w:rsidR="00ED4340" w:rsidRDefault="009B3126"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22 690 800,00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59F5507F"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9B3126">
        <w:rPr>
          <w:rFonts w:ascii="Arial" w:eastAsia="Times New Roman" w:hAnsi="Arial" w:cs="Arial"/>
          <w:b/>
          <w:sz w:val="24"/>
          <w:szCs w:val="24"/>
          <w:lang w:eastAsia="ar-SA"/>
        </w:rPr>
        <w:t>stosuje się kurs: 4,2975 zł.</w:t>
      </w:r>
    </w:p>
    <w:p w14:paraId="32711751" w14:textId="77777777" w:rsidR="00ED4340" w:rsidRDefault="00ED4340" w:rsidP="002D3ABC">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DEC478F" w14:textId="6E16C191" w:rsidR="00B06151" w:rsidRPr="003E752C" w:rsidRDefault="00AC120C" w:rsidP="009B3126">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sidR="009B3126">
        <w:rPr>
          <w:rFonts w:ascii="Arial" w:eastAsia="Times New Roman" w:hAnsi="Arial" w:cs="Arial"/>
          <w:sz w:val="24"/>
          <w:szCs w:val="24"/>
          <w:lang w:eastAsia="ar-SA"/>
        </w:rPr>
        <w:t xml:space="preserve">muje typ projektów A: </w:t>
      </w:r>
      <w:r w:rsidR="00B06151" w:rsidRPr="00B06151">
        <w:rPr>
          <w:rFonts w:ascii="Arial" w:eastAsia="Times New Roman" w:hAnsi="Arial" w:cs="Arial"/>
          <w:sz w:val="24"/>
          <w:szCs w:val="24"/>
          <w:lang w:eastAsia="ar-SA"/>
        </w:rPr>
        <w:t xml:space="preserve">Budowa, rozbudowa, przebudowa punktów </w:t>
      </w:r>
      <w:r w:rsidR="00B06151" w:rsidRPr="003E752C">
        <w:rPr>
          <w:rFonts w:ascii="Arial" w:eastAsia="Times New Roman" w:hAnsi="Arial" w:cs="Arial"/>
          <w:sz w:val="24"/>
          <w:szCs w:val="24"/>
          <w:lang w:eastAsia="ar-SA"/>
        </w:rPr>
        <w:t>selektywnego zbierania odpadów</w:t>
      </w:r>
      <w:r w:rsidR="009B3126" w:rsidRPr="003E752C">
        <w:rPr>
          <w:rFonts w:ascii="Arial" w:eastAsia="Times New Roman" w:hAnsi="Arial" w:cs="Arial"/>
          <w:sz w:val="24"/>
          <w:szCs w:val="24"/>
          <w:lang w:eastAsia="ar-SA"/>
        </w:rPr>
        <w:t xml:space="preserve"> komunalnych.</w:t>
      </w:r>
    </w:p>
    <w:p w14:paraId="466D6D52" w14:textId="77777777" w:rsidR="005905DE" w:rsidRPr="003E752C" w:rsidRDefault="005905DE" w:rsidP="00524CC7">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w:t>
      </w:r>
      <w:r w:rsidR="00B06151" w:rsidRPr="003E752C">
        <w:rPr>
          <w:rFonts w:ascii="Arial" w:eastAsia="Times New Roman" w:hAnsi="Arial" w:cs="Arial"/>
          <w:sz w:val="24"/>
          <w:szCs w:val="24"/>
          <w:lang w:eastAsia="ar-SA"/>
        </w:rPr>
        <w:t xml:space="preserve">sparcie w zakresie gospodarki odpadami będzie skierowane na działania uzupełniające system selektywnego zbierania odpadów zapewniający tym samym pozyskanie jak najwyższej jakości odpadów aby mogły zostać poddane recyklingowi w możliwie najbardziej efektywny sposób. </w:t>
      </w:r>
    </w:p>
    <w:p w14:paraId="11C4C3E0" w14:textId="77777777" w:rsidR="005905DE" w:rsidRPr="003E752C" w:rsidRDefault="005905DE" w:rsidP="00524CC7">
      <w:pPr>
        <w:pStyle w:val="Akapitzlist"/>
        <w:spacing w:after="120" w:line="276" w:lineRule="auto"/>
        <w:ind w:left="56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Zakres interwencji obejmie:</w:t>
      </w:r>
    </w:p>
    <w:p w14:paraId="6370B965" w14:textId="77777777" w:rsidR="005905DE" w:rsidRPr="003E752C" w:rsidRDefault="005905DE" w:rsidP="00524CC7">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3E752C">
        <w:rPr>
          <w:rFonts w:ascii="Arial" w:eastAsia="Times New Roman" w:hAnsi="Arial" w:cs="Arial"/>
          <w:b/>
          <w:sz w:val="24"/>
          <w:szCs w:val="24"/>
          <w:lang w:eastAsia="ar-SA"/>
        </w:rPr>
        <w:t>budowę, rozbudowę, modernizację punktów selektywnego zbierania odpadów komunalnych (PSZOK).</w:t>
      </w:r>
    </w:p>
    <w:p w14:paraId="7B0F8D95" w14:textId="14AB52FC" w:rsidR="002E72A5" w:rsidRPr="003E752C" w:rsidRDefault="005905DE" w:rsidP="00524CC7">
      <w:pPr>
        <w:pStyle w:val="Akapitzlist"/>
        <w:spacing w:after="120" w:line="276" w:lineRule="auto"/>
        <w:ind w:left="993"/>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Interwencja będzie wspierała punkty selektywnego zbierania odpadów komunalnych (PSZOK), jako jedne z elementów systemu gospodarki odpadami, w tym ich budowę, rozbudowę, modernizację. W PSZOK zbierane będą odpady wielkogabarytowe, odpady niebezpieczne pochodzące ze strumienia odpadów komunalnych, odpady budowlane, zużyty sprzęt elektryczny i elektroniczny itp. W przypadku PSZOK </w:t>
      </w:r>
      <w:r w:rsidR="00BE1E53" w:rsidRPr="003E752C">
        <w:rPr>
          <w:rFonts w:ascii="Arial" w:eastAsia="Times New Roman" w:hAnsi="Arial" w:cs="Arial"/>
          <w:sz w:val="24"/>
          <w:szCs w:val="24"/>
          <w:lang w:eastAsia="ar-SA"/>
        </w:rPr>
        <w:t xml:space="preserve">wspierane </w:t>
      </w:r>
      <w:r w:rsidRPr="003E752C">
        <w:rPr>
          <w:rFonts w:ascii="Arial" w:eastAsia="Times New Roman" w:hAnsi="Arial" w:cs="Arial"/>
          <w:sz w:val="24"/>
          <w:szCs w:val="24"/>
          <w:lang w:eastAsia="ar-SA"/>
        </w:rPr>
        <w:t xml:space="preserve">będą </w:t>
      </w:r>
      <w:r w:rsidR="00BE1E53" w:rsidRPr="003E752C">
        <w:rPr>
          <w:rFonts w:ascii="Arial" w:eastAsia="Times New Roman" w:hAnsi="Arial" w:cs="Arial"/>
          <w:sz w:val="24"/>
          <w:szCs w:val="24"/>
          <w:lang w:eastAsia="ar-SA"/>
        </w:rPr>
        <w:t xml:space="preserve">również </w:t>
      </w:r>
      <w:r w:rsidRPr="003E752C">
        <w:rPr>
          <w:rFonts w:ascii="Arial" w:eastAsia="Times New Roman" w:hAnsi="Arial" w:cs="Arial"/>
          <w:sz w:val="24"/>
          <w:szCs w:val="24"/>
          <w:lang w:eastAsia="ar-SA"/>
        </w:rPr>
        <w:t>projekty z komponentem w postaci punktu napraw, ponownego użycia, wymiany rzeczy używanych.</w:t>
      </w:r>
    </w:p>
    <w:p w14:paraId="1483808B" w14:textId="2633F7CA" w:rsidR="005905DE" w:rsidRPr="002E72A5" w:rsidRDefault="005905DE" w:rsidP="00524CC7">
      <w:pPr>
        <w:pStyle w:val="Akapitzlist"/>
        <w:numPr>
          <w:ilvl w:val="0"/>
          <w:numId w:val="37"/>
        </w:numPr>
        <w:spacing w:after="120" w:line="276" w:lineRule="auto"/>
        <w:ind w:left="993" w:hanging="426"/>
        <w:contextualSpacing w:val="0"/>
        <w:rPr>
          <w:rFonts w:ascii="Arial" w:eastAsia="Times New Roman" w:hAnsi="Arial" w:cs="Arial"/>
          <w:sz w:val="24"/>
          <w:szCs w:val="24"/>
          <w:lang w:eastAsia="ar-SA"/>
        </w:rPr>
      </w:pPr>
      <w:r w:rsidRPr="003E752C">
        <w:rPr>
          <w:rFonts w:ascii="Arial" w:eastAsia="Times New Roman" w:hAnsi="Arial" w:cs="Arial"/>
          <w:b/>
          <w:sz w:val="24"/>
          <w:szCs w:val="24"/>
          <w:lang w:eastAsia="ar-SA"/>
        </w:rPr>
        <w:t>działania</w:t>
      </w:r>
      <w:r w:rsidRPr="002E72A5">
        <w:rPr>
          <w:rFonts w:ascii="Arial" w:eastAsia="Times New Roman" w:hAnsi="Arial" w:cs="Arial"/>
          <w:b/>
          <w:sz w:val="24"/>
          <w:szCs w:val="24"/>
          <w:lang w:eastAsia="ar-SA"/>
        </w:rPr>
        <w:t xml:space="preserve"> informacyjno – edukacyjne zmierzające do budowania i kształtowania świadomych postaw i zachowań konsumentów </w:t>
      </w:r>
      <w:r w:rsidRPr="003E752C">
        <w:rPr>
          <w:rFonts w:ascii="Arial" w:eastAsia="Times New Roman" w:hAnsi="Arial" w:cs="Arial"/>
          <w:b/>
          <w:sz w:val="24"/>
          <w:szCs w:val="24"/>
          <w:u w:val="single"/>
          <w:lang w:eastAsia="ar-SA"/>
        </w:rPr>
        <w:t>(obowiązkowy element projektu).</w:t>
      </w:r>
    </w:p>
    <w:p w14:paraId="2B68DD79" w14:textId="0744478B" w:rsidR="00FD39CE" w:rsidRPr="005905DE" w:rsidRDefault="005905DE" w:rsidP="00524CC7">
      <w:pPr>
        <w:pStyle w:val="Akapitzlist"/>
        <w:spacing w:after="120" w:line="276" w:lineRule="auto"/>
        <w:ind w:left="993"/>
        <w:contextualSpacing w:val="0"/>
        <w:rPr>
          <w:rFonts w:ascii="Arial" w:eastAsia="Times New Roman" w:hAnsi="Arial" w:cs="Arial"/>
          <w:sz w:val="24"/>
          <w:szCs w:val="24"/>
          <w:highlight w:val="yellow"/>
          <w:lang w:eastAsia="ar-SA"/>
        </w:rPr>
      </w:pPr>
      <w:r w:rsidRPr="005905DE">
        <w:rPr>
          <w:rFonts w:ascii="Arial" w:eastAsia="Times New Roman" w:hAnsi="Arial" w:cs="Arial"/>
          <w:sz w:val="24"/>
          <w:szCs w:val="24"/>
          <w:lang w:eastAsia="ar-SA"/>
        </w:rPr>
        <w:lastRenderedPageBreak/>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6FE89401" w14:textId="77777777" w:rsidR="005A6B8F" w:rsidRPr="005A6B8F" w:rsidRDefault="005A6B8F" w:rsidP="00524CC7">
      <w:pPr>
        <w:pStyle w:val="Akapitzlist"/>
        <w:numPr>
          <w:ilvl w:val="0"/>
          <w:numId w:val="40"/>
        </w:numPr>
        <w:spacing w:after="120" w:line="276" w:lineRule="auto"/>
        <w:ind w:left="567" w:hanging="567"/>
        <w:contextualSpacing w:val="0"/>
        <w:rPr>
          <w:rFonts w:ascii="Arial" w:eastAsia="Times New Roman" w:hAnsi="Arial" w:cs="Arial"/>
          <w:b/>
          <w:bCs/>
          <w:iCs/>
          <w:sz w:val="24"/>
          <w:szCs w:val="24"/>
          <w:lang w:eastAsia="ar-SA"/>
        </w:rPr>
      </w:pPr>
      <w:r w:rsidRPr="005A6B8F">
        <w:rPr>
          <w:rFonts w:ascii="Arial" w:eastAsia="Times New Roman" w:hAnsi="Arial" w:cs="Arial"/>
          <w:b/>
          <w:bCs/>
          <w:iCs/>
          <w:sz w:val="24"/>
          <w:szCs w:val="24"/>
          <w:lang w:eastAsia="ar-SA"/>
        </w:rPr>
        <w:t>W ramach Działania zastosowanie będą mieć następujące zasady:</w:t>
      </w:r>
    </w:p>
    <w:p w14:paraId="61DAC982" w14:textId="1D23D905" w:rsidR="005A6B8F" w:rsidRPr="005A6B8F" w:rsidRDefault="005A6B8F" w:rsidP="00524CC7">
      <w:pPr>
        <w:pStyle w:val="Akapitzlist"/>
        <w:numPr>
          <w:ilvl w:val="0"/>
          <w:numId w:val="41"/>
        </w:numPr>
        <w:spacing w:after="120" w:line="276" w:lineRule="auto"/>
        <w:ind w:left="993" w:hanging="426"/>
        <w:contextualSpacing w:val="0"/>
        <w:rPr>
          <w:rFonts w:ascii="Arial" w:eastAsia="Times New Roman" w:hAnsi="Arial" w:cs="Arial"/>
          <w:bCs/>
          <w:iCs/>
          <w:sz w:val="24"/>
          <w:szCs w:val="24"/>
          <w:lang w:eastAsia="ar-SA"/>
        </w:rPr>
      </w:pPr>
      <w:r w:rsidRPr="005A6B8F">
        <w:rPr>
          <w:rFonts w:ascii="Arial" w:eastAsia="Times New Roman" w:hAnsi="Arial" w:cs="Arial"/>
          <w:bCs/>
          <w:iCs/>
          <w:sz w:val="24"/>
          <w:szCs w:val="24"/>
          <w:lang w:eastAsia="ar-SA"/>
        </w:rPr>
        <w:t>wsparcie w sektorze gospodarki odpadami będzie realizowane zgodnie z hierarchią sposobów postępowania z odpadami, która nadaje priorytet działaniom dotyczącym zapobiegania powstawaniu odpadów, selektywnej zbiórce odpadów, przygotowaniu do ponownego użycia i recyklingowi, innym procesom odzysku i unieszkodliwiania.</w:t>
      </w:r>
    </w:p>
    <w:p w14:paraId="1F984206" w14:textId="068F2558" w:rsidR="005905DE" w:rsidRPr="005A6B8F" w:rsidRDefault="005A6B8F" w:rsidP="00524CC7">
      <w:pPr>
        <w:pStyle w:val="Akapitzlist"/>
        <w:numPr>
          <w:ilvl w:val="0"/>
          <w:numId w:val="41"/>
        </w:numPr>
        <w:spacing w:after="120" w:line="276" w:lineRule="auto"/>
        <w:ind w:left="993" w:hanging="426"/>
        <w:contextualSpacing w:val="0"/>
        <w:rPr>
          <w:rFonts w:ascii="Arial" w:eastAsia="Times New Roman" w:hAnsi="Arial" w:cs="Arial"/>
          <w:sz w:val="24"/>
          <w:szCs w:val="24"/>
          <w:lang w:eastAsia="ar-SA"/>
        </w:rPr>
      </w:pPr>
      <w:r w:rsidRPr="005A6B8F">
        <w:rPr>
          <w:rFonts w:ascii="Arial" w:eastAsia="Times New Roman" w:hAnsi="Arial" w:cs="Arial"/>
          <w:bCs/>
          <w:iCs/>
          <w:sz w:val="24"/>
          <w:szCs w:val="24"/>
          <w:lang w:eastAsia="ar-SA"/>
        </w:rPr>
        <w:t xml:space="preserve">wspierane będą wyłącznie PSZOK obsługujące nie więcej niż 20 tys. mieszkańców lub inwestycje o wartości kosztów kwalifikowalnych nie większych niż 2 mln złotych. Konieczny do </w:t>
      </w:r>
      <w:r w:rsidR="0083644B" w:rsidRPr="005A6B8F">
        <w:rPr>
          <w:rFonts w:ascii="Arial" w:eastAsia="Times New Roman" w:hAnsi="Arial" w:cs="Arial"/>
          <w:bCs/>
          <w:iCs/>
          <w:sz w:val="24"/>
          <w:szCs w:val="24"/>
          <w:lang w:eastAsia="ar-SA"/>
        </w:rPr>
        <w:t>spełnieni</w:t>
      </w:r>
      <w:r w:rsidR="0083644B">
        <w:rPr>
          <w:rFonts w:ascii="Arial" w:eastAsia="Times New Roman" w:hAnsi="Arial" w:cs="Arial"/>
          <w:bCs/>
          <w:iCs/>
          <w:sz w:val="24"/>
          <w:szCs w:val="24"/>
          <w:lang w:eastAsia="ar-SA"/>
        </w:rPr>
        <w:t>a</w:t>
      </w:r>
      <w:r w:rsidR="0083644B" w:rsidRPr="005A6B8F">
        <w:rPr>
          <w:rFonts w:ascii="Arial" w:eastAsia="Times New Roman" w:hAnsi="Arial" w:cs="Arial"/>
          <w:bCs/>
          <w:iCs/>
          <w:sz w:val="24"/>
          <w:szCs w:val="24"/>
          <w:lang w:eastAsia="ar-SA"/>
        </w:rPr>
        <w:t xml:space="preserve"> </w:t>
      </w:r>
      <w:r w:rsidRPr="005A6B8F">
        <w:rPr>
          <w:rFonts w:ascii="Arial" w:eastAsia="Times New Roman" w:hAnsi="Arial" w:cs="Arial"/>
          <w:bCs/>
          <w:iCs/>
          <w:sz w:val="24"/>
          <w:szCs w:val="24"/>
          <w:lang w:eastAsia="ar-SA"/>
        </w:rPr>
        <w:t>będzie wyłącznie jeden z dwóch ww. warunków.</w:t>
      </w:r>
    </w:p>
    <w:p w14:paraId="32A4BA81" w14:textId="77777777" w:rsidR="005905DE"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7C6B24A3" w:rsidR="00D62B84"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sidR="00DA6DEC" w:rsidRPr="005905DE">
        <w:rPr>
          <w:rFonts w:ascii="Arial" w:hAnsi="Arial" w:cs="Arial"/>
          <w:iCs/>
          <w:sz w:val="24"/>
          <w:szCs w:val="24"/>
        </w:rPr>
        <w:t>2.</w:t>
      </w:r>
      <w:r w:rsidR="00A45005" w:rsidRPr="005905DE">
        <w:rPr>
          <w:rFonts w:ascii="Arial" w:hAnsi="Arial" w:cs="Arial"/>
          <w:iCs/>
          <w:sz w:val="24"/>
          <w:szCs w:val="24"/>
        </w:rPr>
        <w:t xml:space="preserve">25 </w:t>
      </w:r>
      <w:r w:rsidR="00DA6DEC" w:rsidRPr="005905DE">
        <w:rPr>
          <w:rFonts w:ascii="Arial" w:hAnsi="Arial" w:cs="Arial"/>
          <w:iCs/>
          <w:sz w:val="24"/>
          <w:szCs w:val="24"/>
        </w:rPr>
        <w:t>typ projektu A</w:t>
      </w:r>
      <w:r w:rsidRPr="005905DE">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2E72A5">
      <w:pPr>
        <w:numPr>
          <w:ilvl w:val="0"/>
          <w:numId w:val="33"/>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618A9304" w14:textId="54785A81" w:rsidR="009355E4" w:rsidRPr="00F969C5"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lastRenderedPageBreak/>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DD4B4E4" w:rsidR="00D62B84" w:rsidRPr="00D62B84" w:rsidRDefault="00F969C5" w:rsidP="002E72A5">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007E56C3"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7E56C3"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7E56C3" w:rsidRPr="007E56C3">
        <w:rPr>
          <w:rFonts w:ascii="Arial" w:eastAsia="Times New Roman" w:hAnsi="Arial" w:cs="Arial"/>
          <w:bCs/>
          <w:iCs/>
          <w:sz w:val="24"/>
          <w:szCs w:val="24"/>
          <w:vertAlign w:val="superscript"/>
          <w:lang w:eastAsia="pl-PL"/>
        </w:rPr>
        <w:footnoteReference w:id="1"/>
      </w:r>
      <w:r w:rsidR="00C26972" w:rsidRPr="00C26972">
        <w:rPr>
          <w:rFonts w:ascii="Arial" w:eastAsia="Times New Roman" w:hAnsi="Arial" w:cs="Arial"/>
          <w:sz w:val="24"/>
          <w:szCs w:val="24"/>
          <w:lang w:eastAsia="pl-PL"/>
        </w:rPr>
        <w:t>,</w:t>
      </w:r>
    </w:p>
    <w:p w14:paraId="24D4F103"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72A5">
      <w:pPr>
        <w:numPr>
          <w:ilvl w:val="0"/>
          <w:numId w:val="33"/>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1696E84D" w:rsidR="007C70C4" w:rsidRDefault="00D62B84" w:rsidP="002E72A5">
      <w:pPr>
        <w:numPr>
          <w:ilvl w:val="0"/>
          <w:numId w:val="33"/>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1CF828C2" w14:textId="1BC1EE5E" w:rsidR="00F969C5" w:rsidRPr="00F969C5" w:rsidRDefault="00F969C5" w:rsidP="002E72A5">
      <w:pPr>
        <w:numPr>
          <w:ilvl w:val="0"/>
          <w:numId w:val="33"/>
        </w:numPr>
        <w:suppressAutoHyphens/>
        <w:spacing w:before="120" w:after="120" w:line="276" w:lineRule="auto"/>
        <w:ind w:left="993" w:hanging="426"/>
        <w:rPr>
          <w:rFonts w:ascii="Arial" w:hAnsi="Arial" w:cs="Arial"/>
          <w:sz w:val="24"/>
          <w:szCs w:val="24"/>
        </w:rPr>
      </w:pPr>
      <w:r>
        <w:rPr>
          <w:rFonts w:ascii="Arial" w:hAnsi="Arial" w:cs="Arial"/>
          <w:sz w:val="24"/>
          <w:szCs w:val="24"/>
        </w:rPr>
        <w:lastRenderedPageBreak/>
        <w:t>p</w:t>
      </w:r>
      <w:r w:rsidRPr="00F969C5">
        <w:rPr>
          <w:rFonts w:ascii="Arial" w:hAnsi="Arial" w:cs="Arial"/>
          <w:sz w:val="24"/>
          <w:szCs w:val="24"/>
        </w:rPr>
        <w:t>odnoszenie świadomości ekologicznej mieszkańców</w:t>
      </w:r>
      <w:r>
        <w:rPr>
          <w:rFonts w:ascii="Arial" w:hAnsi="Arial" w:cs="Arial"/>
          <w:sz w:val="24"/>
          <w:szCs w:val="24"/>
        </w:rPr>
        <w:t>.</w:t>
      </w:r>
    </w:p>
    <w:p w14:paraId="099466F6"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sz w:val="24"/>
          <w:szCs w:val="24"/>
        </w:rPr>
        <w:t xml:space="preserve">Wnioskodawca zobowiązany jest do prezentacji wskaźników realizacji projektu, określonych w Załączniku do </w:t>
      </w:r>
      <w:r w:rsidRPr="002E72A5">
        <w:rPr>
          <w:rFonts w:ascii="Arial" w:hAnsi="Arial" w:cs="Arial"/>
          <w:iCs/>
          <w:sz w:val="24"/>
          <w:szCs w:val="24"/>
        </w:rPr>
        <w:t>ogłoszenia o naborze</w:t>
      </w:r>
      <w:r w:rsidRPr="002E72A5">
        <w:rPr>
          <w:rFonts w:ascii="Arial" w:hAnsi="Arial" w:cs="Arial"/>
          <w:i/>
          <w:iCs/>
          <w:sz w:val="24"/>
          <w:szCs w:val="24"/>
        </w:rPr>
        <w:t xml:space="preserve"> </w:t>
      </w:r>
      <w:r w:rsidRPr="002E72A5">
        <w:rPr>
          <w:rFonts w:ascii="Arial" w:hAnsi="Arial" w:cs="Arial"/>
          <w:bCs/>
          <w:iCs/>
          <w:sz w:val="24"/>
          <w:szCs w:val="24"/>
        </w:rPr>
        <w:t>wniosku/ grupy wniosków</w:t>
      </w:r>
      <w:r w:rsidRPr="002E72A5">
        <w:rPr>
          <w:rFonts w:ascii="Arial" w:hAnsi="Arial" w:cs="Arial"/>
          <w:i/>
          <w:iCs/>
          <w:sz w:val="24"/>
          <w:szCs w:val="24"/>
        </w:rPr>
        <w:t>.</w:t>
      </w:r>
    </w:p>
    <w:p w14:paraId="6A32AB85"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
          <w:bCs/>
          <w:sz w:val="24"/>
          <w:szCs w:val="24"/>
        </w:rPr>
        <w:t xml:space="preserve">Wyłączeniu z dofinansowania podlegają projekty fizycznie ukończone zgodnie z zapisami §47 pkt 23 </w:t>
      </w:r>
      <w:r w:rsidRPr="002E72A5">
        <w:rPr>
          <w:rFonts w:ascii="Arial" w:hAnsi="Arial" w:cs="Arial"/>
          <w:b/>
          <w:bCs/>
          <w:i/>
          <w:iCs/>
          <w:sz w:val="24"/>
          <w:szCs w:val="24"/>
        </w:rPr>
        <w:t xml:space="preserve">Regulaminu wyboru projektów w sposób niekonkurencyjny </w:t>
      </w:r>
      <w:r w:rsidRPr="002E72A5">
        <w:rPr>
          <w:rFonts w:ascii="Arial" w:hAnsi="Arial" w:cs="Arial"/>
          <w:b/>
          <w:bCs/>
          <w:iCs/>
          <w:sz w:val="24"/>
          <w:szCs w:val="24"/>
        </w:rPr>
        <w:t>(dalej: Regulamin)</w:t>
      </w:r>
      <w:r w:rsidRPr="002E72A5">
        <w:rPr>
          <w:rFonts w:ascii="Arial" w:hAnsi="Arial" w:cs="Arial"/>
          <w:b/>
          <w:bCs/>
          <w:i/>
          <w:iCs/>
          <w:sz w:val="24"/>
          <w:szCs w:val="24"/>
        </w:rPr>
        <w:t xml:space="preserve"> </w:t>
      </w:r>
      <w:r w:rsidRPr="002E72A5">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836C62E"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61A453FC" w:rsidR="008E48A1"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2E72A5">
        <w:rPr>
          <w:rFonts w:ascii="Arial" w:hAnsi="Arial" w:cs="Arial"/>
          <w:bCs/>
          <w:i/>
          <w:iCs/>
          <w:sz w:val="24"/>
          <w:szCs w:val="24"/>
        </w:rPr>
        <w:t>o udostępnianiu informacji o środowisku i jego ochronie, udziale społeczeństwa w ochronie środowiska oraz o ocenach oddziaływania na środowisko</w:t>
      </w:r>
      <w:r w:rsidRPr="002E72A5">
        <w:rPr>
          <w:rFonts w:ascii="Arial" w:hAnsi="Arial" w:cs="Arial"/>
          <w:bCs/>
          <w:iCs/>
          <w:sz w:val="24"/>
          <w:szCs w:val="24"/>
        </w:rPr>
        <w:t xml:space="preserve"> (w przypadku przedsięwzięć wymienionych w rozporządzeniu OOŚ</w:t>
      </w:r>
      <w:r w:rsidRPr="00D62B84">
        <w:rPr>
          <w:iCs/>
          <w:vertAlign w:val="superscript"/>
        </w:rPr>
        <w:footnoteReference w:id="3"/>
      </w:r>
      <w:r w:rsidRPr="002E72A5">
        <w:rPr>
          <w:rFonts w:ascii="Arial" w:hAnsi="Arial" w:cs="Arial"/>
          <w:bCs/>
          <w:iCs/>
          <w:sz w:val="24"/>
          <w:szCs w:val="24"/>
        </w:rPr>
        <w:t xml:space="preserve">), z zastrzeżeniem zapisów §25 </w:t>
      </w:r>
      <w:r w:rsidRPr="002E72A5">
        <w:rPr>
          <w:rFonts w:ascii="Arial" w:hAnsi="Arial" w:cs="Arial"/>
          <w:bCs/>
          <w:i/>
          <w:iCs/>
          <w:sz w:val="24"/>
          <w:szCs w:val="24"/>
        </w:rPr>
        <w:t>Regulaminu</w:t>
      </w:r>
      <w:r w:rsidR="00730264" w:rsidRPr="002E72A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2E72A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6AF5CFE" w:rsidR="00C26972" w:rsidRPr="00097115" w:rsidRDefault="00097115" w:rsidP="002E72A5">
      <w:pPr>
        <w:numPr>
          <w:ilvl w:val="0"/>
          <w:numId w:val="42"/>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5C9DB9A4" w14:textId="5AA94517" w:rsidR="00AE61C3" w:rsidRPr="00DA6DEC" w:rsidRDefault="00AE61C3" w:rsidP="002D3ABC">
      <w:pPr>
        <w:pStyle w:val="Nagwek3"/>
      </w:pPr>
      <w:r w:rsidRPr="00DA6DEC">
        <w:t>Specyficzne koszty niekwalifikowalne</w:t>
      </w:r>
      <w:r w:rsidR="00A427D8" w:rsidRPr="00DA6DEC">
        <w:t xml:space="preserve"> </w:t>
      </w:r>
    </w:p>
    <w:p w14:paraId="2656C1A8" w14:textId="2C554DB5" w:rsidR="00097115" w:rsidRDefault="00506B81" w:rsidP="003E752C">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3E752C">
        <w:rPr>
          <w:rFonts w:ascii="Arial" w:eastAsia="Times New Roman" w:hAnsi="Arial" w:cs="Arial"/>
          <w:sz w:val="24"/>
          <w:szCs w:val="24"/>
          <w:lang w:eastAsia="ar-SA"/>
        </w:rPr>
        <w:t>.</w:t>
      </w:r>
    </w:p>
    <w:p w14:paraId="5DD80BC2" w14:textId="77777777" w:rsidR="00EC7D6E" w:rsidRPr="00EC7D6E" w:rsidRDefault="00EC7D6E" w:rsidP="00EC7D6E">
      <w:pPr>
        <w:numPr>
          <w:ilvl w:val="0"/>
          <w:numId w:val="63"/>
        </w:numPr>
        <w:spacing w:after="120" w:line="276" w:lineRule="auto"/>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 xml:space="preserve">zgodnie z art. 7 ust 1 pkt h) Rozporządzenia PARLAMENTU EUROPEJSKIEGO I RADY (UE) 2021/1058 z dnia 24 czerwca 2021 r. w sprawie Europejskiego Funduszu Rozwoju Regionalnego i Funduszu Spójności, wsparcia z EFRR </w:t>
      </w:r>
      <w:r w:rsidRPr="00EC7D6E">
        <w:rPr>
          <w:rFonts w:ascii="Arial" w:eastAsia="Calibri" w:hAnsi="Arial" w:cs="Arial"/>
          <w:b/>
          <w:bCs/>
          <w:color w:val="FF0000"/>
          <w:sz w:val="24"/>
          <w:szCs w:val="24"/>
          <w:lang w:eastAsia="ar-SA"/>
        </w:rPr>
        <w:t xml:space="preserve">nie </w:t>
      </w:r>
      <w:r w:rsidRPr="00EC7D6E">
        <w:rPr>
          <w:rFonts w:ascii="Arial" w:eastAsia="Calibri" w:hAnsi="Arial" w:cs="Arial"/>
          <w:b/>
          <w:bCs/>
          <w:color w:val="FF0000"/>
          <w:sz w:val="24"/>
          <w:szCs w:val="24"/>
          <w:lang w:eastAsia="ar-SA"/>
        </w:rPr>
        <w:lastRenderedPageBreak/>
        <w:t>udziela się</w:t>
      </w:r>
      <w:r w:rsidRPr="00EC7D6E">
        <w:rPr>
          <w:rFonts w:ascii="Arial" w:eastAsia="Calibri" w:hAnsi="Arial" w:cs="Arial"/>
          <w:color w:val="FF0000"/>
          <w:sz w:val="24"/>
          <w:szCs w:val="24"/>
          <w:lang w:eastAsia="ar-SA"/>
        </w:rPr>
        <w:t xml:space="preserve"> na inwestycje w zakresie produkcji, przetwarzania, transportu, dystrybucji, magazynowania lub spalania paliw kopalnych, z wyjątkiem:</w:t>
      </w:r>
    </w:p>
    <w:p w14:paraId="4447EDA3" w14:textId="77777777" w:rsidR="00EC7D6E" w:rsidRPr="00EC7D6E" w:rsidRDefault="00EC7D6E" w:rsidP="00EC7D6E">
      <w:pPr>
        <w:numPr>
          <w:ilvl w:val="0"/>
          <w:numId w:val="64"/>
        </w:numPr>
        <w:spacing w:after="120" w:line="276" w:lineRule="auto"/>
        <w:ind w:left="709" w:hanging="283"/>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wymiany systemów ciepłowniczych zasilanych stałymi paliwami kopalnymi, tj. węglem kamiennym, torfem, węglem brunatnym, łupkami bitumicznymi, na systemy grzewcze zasilane gazem ziemnym w celu:</w:t>
      </w:r>
    </w:p>
    <w:p w14:paraId="16747017" w14:textId="77777777" w:rsidR="00EC7D6E" w:rsidRPr="00EC7D6E" w:rsidRDefault="00EC7D6E" w:rsidP="00EC7D6E">
      <w:pPr>
        <w:numPr>
          <w:ilvl w:val="0"/>
          <w:numId w:val="65"/>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modernizacji systemów ciepłowniczych i chłodniczych do stanu „efektywnego systemu ciepłowniczego i chłodniczego”, zdefiniowanego w art. 2 pkt 41 dyrektywy 2012/27/UE,</w:t>
      </w:r>
    </w:p>
    <w:p w14:paraId="0BFCEF16" w14:textId="77777777" w:rsidR="00EC7D6E" w:rsidRPr="00EC7D6E" w:rsidRDefault="00EC7D6E" w:rsidP="00EC7D6E">
      <w:pPr>
        <w:numPr>
          <w:ilvl w:val="0"/>
          <w:numId w:val="65"/>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modernizacji elektrociepłowni do stanu „wysokosprawnej kogeneracji”, zdefiniowanej w art. 2 pkt 34 dyrektywy 2012/27/UE,</w:t>
      </w:r>
    </w:p>
    <w:p w14:paraId="016CD279" w14:textId="77777777" w:rsidR="00EC7D6E" w:rsidRPr="00EC7D6E" w:rsidRDefault="00EC7D6E" w:rsidP="00EC7D6E">
      <w:pPr>
        <w:numPr>
          <w:ilvl w:val="0"/>
          <w:numId w:val="65"/>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6D31744" w14:textId="77777777" w:rsidR="00EC7D6E" w:rsidRPr="00EC7D6E" w:rsidRDefault="00EC7D6E" w:rsidP="00EC7D6E">
      <w:pPr>
        <w:numPr>
          <w:ilvl w:val="0"/>
          <w:numId w:val="64"/>
        </w:numPr>
        <w:spacing w:after="120" w:line="276" w:lineRule="auto"/>
        <w:ind w:left="709" w:hanging="283"/>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2B306518" w14:textId="77777777" w:rsidR="00EC7D6E" w:rsidRPr="00EC7D6E" w:rsidRDefault="00EC7D6E" w:rsidP="00EC7D6E">
      <w:pPr>
        <w:numPr>
          <w:ilvl w:val="0"/>
          <w:numId w:val="64"/>
        </w:numPr>
        <w:spacing w:after="120" w:line="276" w:lineRule="auto"/>
        <w:ind w:left="709" w:hanging="283"/>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inwestycji w:</w:t>
      </w:r>
    </w:p>
    <w:p w14:paraId="7AA32368" w14:textId="77777777" w:rsidR="00EC7D6E" w:rsidRPr="00EC7D6E" w:rsidRDefault="00EC7D6E" w:rsidP="00EC7D6E">
      <w:pPr>
        <w:numPr>
          <w:ilvl w:val="0"/>
          <w:numId w:val="63"/>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ekologicznie czyste pojazdy zdefiniowane w dyrektywie Parlamentu Europejskiego i Rady 2009/33/WE ( 5 ) do celów publicznych, oraz</w:t>
      </w:r>
    </w:p>
    <w:p w14:paraId="5F9236E1" w14:textId="77777777" w:rsidR="00EC7D6E" w:rsidRPr="00EC7D6E" w:rsidRDefault="00EC7D6E" w:rsidP="00EC7D6E">
      <w:pPr>
        <w:numPr>
          <w:ilvl w:val="0"/>
          <w:numId w:val="63"/>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pojazdy, statki powietrzne i jednostki pływające zaprojektowane i zbudowane lub przystosowane do użytku przez służby ochrony ludności i straż pożarną.</w:t>
      </w:r>
    </w:p>
    <w:p w14:paraId="5F92D72B" w14:textId="72BDFA45" w:rsidR="00EC7D6E" w:rsidRPr="00EC7D6E" w:rsidRDefault="00EC7D6E" w:rsidP="00EC7D6E">
      <w:pPr>
        <w:spacing w:after="120" w:line="276" w:lineRule="auto"/>
        <w:ind w:left="284"/>
        <w:rPr>
          <w:rFonts w:ascii="Arial" w:eastAsia="Calibri" w:hAnsi="Arial" w:cs="Arial"/>
          <w:color w:val="FF0000"/>
          <w:sz w:val="24"/>
          <w:szCs w:val="24"/>
          <w:lang w:eastAsia="ar-SA"/>
        </w:rPr>
      </w:pPr>
      <w:r w:rsidRPr="00EC7D6E">
        <w:rPr>
          <w:rFonts w:ascii="Arial" w:eastAsia="Calibri" w:hAnsi="Arial" w:cs="Arial"/>
          <w:b/>
          <w:bCs/>
          <w:color w:val="FF0000"/>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r w:rsidRPr="00EC7D6E">
        <w:rPr>
          <w:rFonts w:ascii="Arial" w:eastAsia="Calibri" w:hAnsi="Arial" w:cs="Arial"/>
          <w:color w:val="FF0000"/>
          <w:sz w:val="24"/>
          <w:szCs w:val="24"/>
          <w:lang w:eastAsia="ar-SA"/>
        </w:rPr>
        <w:t>.</w:t>
      </w:r>
    </w:p>
    <w:p w14:paraId="5EA5AE0F" w14:textId="6129B0EB" w:rsidR="0055583A" w:rsidRPr="0055583A" w:rsidRDefault="0055583A" w:rsidP="002D3ABC">
      <w:pPr>
        <w:pStyle w:val="Nagwek3"/>
      </w:pPr>
      <w:r w:rsidRPr="0055583A">
        <w:t>Koszty pośrednie</w:t>
      </w:r>
    </w:p>
    <w:p w14:paraId="23E37861" w14:textId="61684DC1" w:rsidR="0055583A" w:rsidRPr="0055583A" w:rsidRDefault="00097115">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D3ABC">
      <w:pPr>
        <w:pStyle w:val="Nagwek3"/>
      </w:pPr>
      <w:r w:rsidRPr="004D3F1F">
        <w:t>Pomoc publiczna</w:t>
      </w:r>
    </w:p>
    <w:p w14:paraId="654D64EB" w14:textId="77777777" w:rsidR="00A52814" w:rsidRPr="00A52814" w:rsidRDefault="00A52814" w:rsidP="001438F6">
      <w:pPr>
        <w:numPr>
          <w:ilvl w:val="0"/>
          <w:numId w:val="34"/>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w:t>
      </w:r>
      <w:r w:rsidRPr="00A52814">
        <w:rPr>
          <w:rFonts w:ascii="Arial" w:eastAsia="Times New Roman" w:hAnsi="Arial" w:cs="Arial"/>
          <w:sz w:val="24"/>
          <w:szCs w:val="24"/>
          <w:lang w:eastAsia="pl-PL"/>
        </w:rPr>
        <w:lastRenderedPageBreak/>
        <w:t xml:space="preserve">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3D4DFEAF"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Zapis ust. 13 ma zastosowanie jedynie do sytuacji, w której:</w:t>
      </w:r>
    </w:p>
    <w:p w14:paraId="7EBD7F59" w14:textId="77777777" w:rsidR="00A52814" w:rsidRPr="00A52814" w:rsidRDefault="00A52814" w:rsidP="001438F6">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1438F6">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1438F6">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1438F6">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5653BB90" w14:textId="4268DF28"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sidR="00F27801">
        <w:rPr>
          <w:rFonts w:ascii="Arial" w:eastAsia="Times New Roman" w:hAnsi="Arial" w:cs="Arial"/>
          <w:sz w:val="24"/>
          <w:szCs w:val="24"/>
          <w:lang w:eastAsia="pl-PL"/>
        </w:rPr>
        <w:t>.</w:t>
      </w:r>
    </w:p>
    <w:p w14:paraId="654F7A4C" w14:textId="77777777" w:rsidR="00A52814" w:rsidRPr="00A52814" w:rsidRDefault="00A52814" w:rsidP="001438F6">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3513A088" w14:textId="77777777" w:rsidR="00A52814" w:rsidRPr="00A52814" w:rsidRDefault="00A52814" w:rsidP="001438F6">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Zgodnie z § 12 Rozporządzenia wskazanego w ust. 1, pomoc de minimis na podstawie tegoż Rozporządzenia może być udzielana nie dłużej niż do dnia 31 grudnia 2029 r.</w:t>
      </w:r>
    </w:p>
    <w:p w14:paraId="4D0262F6" w14:textId="77777777" w:rsidR="00A52814" w:rsidRPr="00A52814" w:rsidRDefault="00A52814" w:rsidP="001438F6">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1438F6">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2CFA2C9D" w14:textId="09857263" w:rsidR="00097115" w:rsidRPr="00097115" w:rsidRDefault="00097115" w:rsidP="001438F6">
      <w:pPr>
        <w:numPr>
          <w:ilvl w:val="3"/>
          <w:numId w:val="31"/>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Ubiegając się o przyznanie pomocy publicznej w ramach Działania 2.</w:t>
      </w:r>
      <w:r>
        <w:rPr>
          <w:rFonts w:ascii="Arial" w:eastAsia="Times New Roman" w:hAnsi="Arial" w:cs="Arial"/>
          <w:sz w:val="24"/>
          <w:szCs w:val="24"/>
          <w:lang w:eastAsia="ar-SA"/>
        </w:rPr>
        <w:t>25</w:t>
      </w:r>
      <w:r w:rsidRPr="00097115">
        <w:rPr>
          <w:rFonts w:ascii="Arial" w:eastAsia="Times New Roman" w:hAnsi="Arial" w:cs="Arial"/>
          <w:sz w:val="24"/>
          <w:szCs w:val="24"/>
          <w:lang w:eastAsia="ar-SA"/>
        </w:rPr>
        <w:t xml:space="preserve"> właściwymi przepisami prawa, </w:t>
      </w:r>
      <w:r>
        <w:rPr>
          <w:rFonts w:ascii="Arial" w:eastAsia="Times New Roman" w:hAnsi="Arial" w:cs="Arial"/>
          <w:sz w:val="24"/>
          <w:szCs w:val="24"/>
          <w:lang w:eastAsia="ar-SA"/>
        </w:rPr>
        <w:t>są</w:t>
      </w:r>
      <w:r w:rsidRPr="00097115">
        <w:rPr>
          <w:rFonts w:ascii="Arial" w:eastAsia="Times New Roman" w:hAnsi="Arial" w:cs="Arial"/>
          <w:sz w:val="24"/>
          <w:szCs w:val="24"/>
          <w:lang w:eastAsia="ar-SA"/>
        </w:rPr>
        <w:t xml:space="preserve"> w szczególności: </w:t>
      </w:r>
    </w:p>
    <w:p w14:paraId="148E5024" w14:textId="381FD4E0" w:rsidR="00097115" w:rsidRPr="00097115" w:rsidRDefault="00097115" w:rsidP="001438F6">
      <w:pPr>
        <w:numPr>
          <w:ilvl w:val="0"/>
          <w:numId w:val="60"/>
        </w:numPr>
        <w:ind w:left="993" w:hanging="426"/>
        <w:rPr>
          <w:rFonts w:ascii="Arial" w:eastAsia="Times New Roman" w:hAnsi="Arial" w:cs="Arial"/>
          <w:sz w:val="24"/>
          <w:szCs w:val="24"/>
          <w:lang w:eastAsia="ar-SA"/>
        </w:rPr>
      </w:pPr>
      <w:r>
        <w:rPr>
          <w:rFonts w:ascii="Arial" w:eastAsia="Times New Roman" w:hAnsi="Arial" w:cs="Arial"/>
          <w:sz w:val="24"/>
          <w:szCs w:val="24"/>
          <w:lang w:eastAsia="ar-SA"/>
        </w:rPr>
        <w:t>Decyzja</w:t>
      </w:r>
      <w:r w:rsidRPr="00097115">
        <w:rPr>
          <w:rFonts w:ascii="Arial" w:eastAsia="Times New Roman" w:hAnsi="Arial" w:cs="Arial"/>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6D105CD5" w14:textId="6F54AA7A" w:rsidR="008E1E65" w:rsidRPr="008E1E65" w:rsidRDefault="00097115" w:rsidP="008E1E65">
      <w:pPr>
        <w:numPr>
          <w:ilvl w:val="0"/>
          <w:numId w:val="60"/>
        </w:numPr>
        <w:ind w:left="993" w:hanging="426"/>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Komisji (UE) 2023/2831 z dnia 13 grudnia 2023 r. w sprawie stosowania art. 107 i 108 Traktatu o funkcjonowaniu Unii Europejskiej do pomocy de minimis,</w:t>
      </w:r>
    </w:p>
    <w:p w14:paraId="048A8757" w14:textId="63D14B47" w:rsidR="00097115" w:rsidRPr="00097115" w:rsidRDefault="00097115" w:rsidP="001438F6">
      <w:pPr>
        <w:numPr>
          <w:ilvl w:val="0"/>
          <w:numId w:val="60"/>
        </w:numPr>
        <w:ind w:left="993" w:hanging="426"/>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Komisji (UE) nr 651/2014 z dnia 17 czerwca 2014 r. uznające niektóre rodzaje pomocy za zgodne z rynkiem wewnętrznym w zastosowaniu art. 107 i 108 Traktatu.</w:t>
      </w:r>
    </w:p>
    <w:p w14:paraId="551D3CD8" w14:textId="77777777" w:rsidR="00097115" w:rsidRPr="00097115" w:rsidRDefault="00097115" w:rsidP="001438F6">
      <w:pPr>
        <w:numPr>
          <w:ilvl w:val="0"/>
          <w:numId w:val="60"/>
        </w:numPr>
        <w:ind w:left="993" w:hanging="426"/>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5DB40249" w14:textId="77777777" w:rsidR="00097115" w:rsidRPr="00097115" w:rsidRDefault="00097115" w:rsidP="001438F6">
      <w:pPr>
        <w:numPr>
          <w:ilvl w:val="0"/>
          <w:numId w:val="60"/>
        </w:numPr>
        <w:ind w:left="993" w:hanging="426"/>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6FDE16DA" w14:textId="34D62C9E" w:rsidR="00097115" w:rsidRPr="001438F6" w:rsidRDefault="00097115" w:rsidP="001438F6">
      <w:pPr>
        <w:pStyle w:val="Akapitzlist"/>
        <w:numPr>
          <w:ilvl w:val="3"/>
          <w:numId w:val="31"/>
        </w:numPr>
        <w:ind w:left="567" w:hanging="567"/>
        <w:rPr>
          <w:rFonts w:ascii="Arial" w:eastAsia="Times New Roman" w:hAnsi="Arial" w:cs="Arial"/>
          <w:sz w:val="24"/>
          <w:szCs w:val="24"/>
          <w:lang w:eastAsia="ar-SA"/>
        </w:rPr>
      </w:pPr>
      <w:r w:rsidRPr="001438F6">
        <w:rPr>
          <w:rFonts w:ascii="Arial" w:eastAsia="Times New Roman" w:hAnsi="Arial" w:cs="Arial"/>
          <w:sz w:val="24"/>
          <w:szCs w:val="24"/>
          <w:lang w:eastAsia="ar-SA"/>
        </w:rPr>
        <w:lastRenderedPageBreak/>
        <w:t xml:space="preserve">Pomoc publiczna wynikająca z powyższych Rozporządzeń może zostać przyznana na zakres i w wysokości w nich określonych. </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30BCF75C"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4A8A6DD" w14:textId="31C2E953" w:rsidR="00435C04" w:rsidRPr="00FD6C5D" w:rsidRDefault="00FD6C5D" w:rsidP="00CC12A4">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sidR="00786F08">
              <w:rPr>
                <w:rFonts w:ascii="Arial" w:eastAsia="Calibri" w:hAnsi="Arial" w:cs="Arial"/>
                <w:b/>
                <w:sz w:val="24"/>
              </w:rPr>
              <w:t xml:space="preserve"> / Pkt F zadania i koszty.</w:t>
            </w:r>
          </w:p>
          <w:p w14:paraId="2B38FE0A" w14:textId="16632A15" w:rsidR="00FD6C5D" w:rsidRDefault="00FD6C5D" w:rsidP="00CC12A4">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sidR="00D62787">
              <w:rPr>
                <w:rFonts w:ascii="Arial" w:eastAsia="Calibri" w:hAnsi="Arial" w:cs="Arial"/>
                <w:sz w:val="24"/>
              </w:rPr>
              <w:t xml:space="preserve">jakie zaplanowano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do zmiany ich zachowań/ modeli biznesowych na zgodne z zasadami gospodarki obiegu zamkniętego.</w:t>
            </w:r>
          </w:p>
          <w:p w14:paraId="1AC29D8A" w14:textId="1A219FA7" w:rsidR="00D62787" w:rsidRPr="00FD6C5D" w:rsidRDefault="00D62787" w:rsidP="00D62787">
            <w:pPr>
              <w:autoSpaceDE w:val="0"/>
              <w:autoSpaceDN w:val="0"/>
              <w:adjustRightInd w:val="0"/>
              <w:spacing w:after="120" w:line="276" w:lineRule="auto"/>
              <w:rPr>
                <w:rFonts w:ascii="Arial" w:eastAsia="Calibri" w:hAnsi="Arial" w:cs="Arial"/>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3BB9C1D" w14:textId="0B2E562E" w:rsidR="006422A5" w:rsidRDefault="00B83F16" w:rsidP="00B83F16">
            <w:pPr>
              <w:autoSpaceDE w:val="0"/>
              <w:autoSpaceDN w:val="0"/>
              <w:adjustRightInd w:val="0"/>
              <w:spacing w:after="120" w:line="276" w:lineRule="auto"/>
              <w:rPr>
                <w:rFonts w:ascii="Arial" w:eastAsia="Calibri" w:hAnsi="Arial" w:cs="Arial"/>
                <w:b/>
                <w:sz w:val="24"/>
              </w:rPr>
            </w:pPr>
            <w:r w:rsidRPr="00AF4835">
              <w:rPr>
                <w:rFonts w:ascii="Arial" w:eastAsia="Calibri" w:hAnsi="Arial" w:cs="Arial"/>
                <w:b/>
                <w:sz w:val="24"/>
              </w:rPr>
              <w:t>Pkt B.1.4 Opis projektu/ pkt U Informacje specyficzne</w:t>
            </w:r>
            <w:r w:rsidR="00786F08" w:rsidRPr="00AF4835">
              <w:rPr>
                <w:rFonts w:ascii="Arial" w:eastAsia="Calibri" w:hAnsi="Arial" w:cs="Arial"/>
                <w:b/>
                <w:sz w:val="24"/>
              </w:rPr>
              <w:t>.</w:t>
            </w:r>
          </w:p>
          <w:p w14:paraId="429EB401" w14:textId="77777777" w:rsidR="00AF4835" w:rsidRPr="00AF4835" w:rsidRDefault="00AF4835" w:rsidP="00AF4835">
            <w:pPr>
              <w:autoSpaceDE w:val="0"/>
              <w:autoSpaceDN w:val="0"/>
              <w:adjustRightInd w:val="0"/>
              <w:spacing w:after="120" w:line="276" w:lineRule="auto"/>
              <w:rPr>
                <w:rFonts w:ascii="Arial" w:eastAsia="Calibri" w:hAnsi="Arial" w:cs="Arial"/>
                <w:sz w:val="24"/>
              </w:rPr>
            </w:pPr>
            <w:r w:rsidRPr="00AF4835">
              <w:rPr>
                <w:rFonts w:ascii="Arial" w:eastAsia="Calibri" w:hAnsi="Arial" w:cs="Arial"/>
                <w:sz w:val="24"/>
              </w:rPr>
              <w:t>Należy wskazać czy projekt dotyczy budowy, rozbudowy czy modernizacji PSZOK oraz wskazać jakiego rodzaju odpady są zbierane np. odpady wielkogabarytowe, odpady niebezpieczne pochodzące ze strumienia odpadów komunalnych, odpady budowlane, zużyty sprzęt elektryczny i elektroniczny itp.</w:t>
            </w:r>
          </w:p>
          <w:p w14:paraId="3403A73B" w14:textId="0277C4BB" w:rsidR="00B06151" w:rsidRPr="00AF4835" w:rsidRDefault="00AF4835" w:rsidP="00AF4835">
            <w:pPr>
              <w:autoSpaceDE w:val="0"/>
              <w:autoSpaceDN w:val="0"/>
              <w:adjustRightInd w:val="0"/>
              <w:spacing w:after="120" w:line="276" w:lineRule="auto"/>
              <w:rPr>
                <w:rFonts w:ascii="Arial" w:eastAsia="Calibri" w:hAnsi="Arial" w:cs="Arial"/>
                <w:sz w:val="24"/>
              </w:rPr>
            </w:pPr>
            <w:r w:rsidRPr="00AF4835">
              <w:rPr>
                <w:rFonts w:ascii="Arial" w:eastAsia="Calibri" w:hAnsi="Arial" w:cs="Arial"/>
                <w:sz w:val="24"/>
              </w:rPr>
              <w:t>Należy wskazać czy w PSZOK znajduje się komponent w postaci punktu napraw, ponownego użycia, wymiany rzeczy używanych.</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DC7E47E" w14:textId="03387274" w:rsidR="00BB05DA" w:rsidRDefault="00BB05DA" w:rsidP="00BB05DA">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 Pomoc publiczna</w:t>
            </w:r>
            <w:r w:rsidR="00786F08">
              <w:rPr>
                <w:rFonts w:ascii="Arial" w:eastAsia="Times New Roman" w:hAnsi="Arial" w:cs="Arial"/>
                <w:b/>
                <w:iCs/>
                <w:sz w:val="24"/>
                <w:szCs w:val="24"/>
                <w:lang w:eastAsia="ar-SA"/>
              </w:rPr>
              <w:t>.</w:t>
            </w:r>
          </w:p>
          <w:p w14:paraId="08959097" w14:textId="77777777" w:rsidR="00BB05DA" w:rsidRDefault="00BB05DA" w:rsidP="00BB05D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projektów związanych z gospodarką odpadami komunalnymi tj. projektów dot. budowy, rozbudowy, przebudowy, doposażenia punktów selektywnego zbierania odpadów komunalnych wraz z punktami napraw, IZ FEM na podstawie opinii UOKIK oraz MiPR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Jednocześnie w pewnych sytuacjach (wskazanych poniżej) istnieje możliwość przyznania dofinansowania na zasadach bez pomocy publicznej.  </w:t>
            </w:r>
          </w:p>
          <w:p w14:paraId="6CD8AA06" w14:textId="77777777" w:rsidR="00BB05DA" w:rsidRDefault="00BB05DA" w:rsidP="00BB05D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Ocena wystąpienia pomocy publicznej w pierwszej kolejności uzależniona jest od tego </w:t>
            </w:r>
            <w:r>
              <w:rPr>
                <w:rFonts w:ascii="Arial" w:eastAsia="Times New Roman" w:hAnsi="Arial" w:cs="Arial"/>
                <w:b/>
                <w:iCs/>
                <w:sz w:val="24"/>
                <w:szCs w:val="24"/>
                <w:lang w:eastAsia="ar-SA"/>
              </w:rPr>
              <w:t>jaki podmiot ubiega się o dofinansowanie</w:t>
            </w:r>
            <w:r>
              <w:rPr>
                <w:rFonts w:ascii="Arial" w:eastAsia="Times New Roman" w:hAnsi="Arial" w:cs="Arial"/>
                <w:iCs/>
                <w:sz w:val="24"/>
                <w:szCs w:val="24"/>
                <w:lang w:eastAsia="ar-SA"/>
              </w:rPr>
              <w:t xml:space="preserve">. W tym zakresie dopuszczalna </w:t>
            </w:r>
            <w:r>
              <w:rPr>
                <w:rFonts w:ascii="Arial" w:eastAsia="Times New Roman" w:hAnsi="Arial" w:cs="Arial"/>
                <w:iCs/>
                <w:sz w:val="24"/>
                <w:szCs w:val="24"/>
                <w:lang w:eastAsia="ar-SA"/>
              </w:rPr>
              <w:lastRenderedPageBreak/>
              <w:t xml:space="preserve">jest sytuacja, że o dofinansowanie ubiega się </w:t>
            </w:r>
            <w:r>
              <w:rPr>
                <w:rFonts w:ascii="Arial" w:eastAsia="Times New Roman" w:hAnsi="Arial" w:cs="Arial"/>
                <w:b/>
                <w:iCs/>
                <w:sz w:val="24"/>
                <w:szCs w:val="24"/>
                <w:lang w:eastAsia="ar-SA"/>
              </w:rPr>
              <w:t>gmina będąca organizatorem świadczenia usługi w zakresie zagospodarowania odpadów</w:t>
            </w:r>
            <w:r>
              <w:rPr>
                <w:rFonts w:ascii="Arial" w:eastAsia="Times New Roman" w:hAnsi="Arial" w:cs="Arial"/>
                <w:iCs/>
                <w:sz w:val="24"/>
                <w:szCs w:val="24"/>
                <w:lang w:eastAsia="ar-SA"/>
              </w:rPr>
              <w:t xml:space="preserve">, jak również, że o dofinansowanie ubiega się </w:t>
            </w:r>
            <w:r>
              <w:rPr>
                <w:rFonts w:ascii="Arial" w:eastAsia="Times New Roman" w:hAnsi="Arial" w:cs="Arial"/>
                <w:b/>
                <w:iCs/>
                <w:sz w:val="24"/>
                <w:szCs w:val="24"/>
                <w:lang w:eastAsia="ar-SA"/>
              </w:rPr>
              <w:t>operator usługi tj. podmiot świadczący usługi zagospodarowani odpadów</w:t>
            </w:r>
            <w:r>
              <w:rPr>
                <w:rFonts w:ascii="Arial" w:eastAsia="Times New Roman" w:hAnsi="Arial" w:cs="Arial"/>
                <w:iCs/>
                <w:sz w:val="24"/>
                <w:szCs w:val="24"/>
                <w:lang w:eastAsia="ar-SA"/>
              </w:rPr>
              <w:t xml:space="preserve">. </w:t>
            </w:r>
          </w:p>
          <w:p w14:paraId="4EFF98B9" w14:textId="77777777" w:rsidR="00BB05DA" w:rsidRDefault="00BB05DA" w:rsidP="00BB05D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Mając na uwadze powyższe możliwe są następujące scenariusze:</w:t>
            </w:r>
          </w:p>
          <w:p w14:paraId="1BEECD88" w14:textId="77777777" w:rsidR="004F2AD7" w:rsidRDefault="00BB05DA" w:rsidP="004F2AD7">
            <w:pPr>
              <w:pStyle w:val="Akapitzlist"/>
              <w:numPr>
                <w:ilvl w:val="0"/>
                <w:numId w:val="43"/>
              </w:numPr>
              <w:suppressAutoHyphens/>
              <w:spacing w:after="120" w:line="276" w:lineRule="auto"/>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Wnioskodawcą projektu jest gmina, która nie posiada jednostek organizacyjnych  (np. jednostek budżetowych, zakładów budżetowych, spółek komunalnych) odpowiedzialnych za gospodarkę odpadami, jak również, która nie planuje wyłonienia podmiotu zewnętrznego na funkcję operatora infrastruktury</w:t>
            </w:r>
            <w:r>
              <w:rPr>
                <w:rFonts w:ascii="Arial" w:eastAsia="Times New Roman" w:hAnsi="Arial" w:cs="Arial"/>
                <w:iCs/>
                <w:sz w:val="24"/>
                <w:szCs w:val="24"/>
                <w:lang w:eastAsia="ar-SA"/>
              </w:rPr>
              <w:t xml:space="preserve"> wówczas infrastruktura pozostaje własnością gminy, a za administrowanie powstałą infrastrukturą odpowiedzialny będzie urząd gminy (na podstawie zapisów Regulaminu Organizacyjnego). Z kolei za odbiór śmieci i ich zagospodarowanie odpowiedzialny będzie podmiot zewnętrzny wyłoniony w postępowaniu przetargowym.</w:t>
            </w:r>
          </w:p>
          <w:p w14:paraId="3F28E977" w14:textId="77777777" w:rsidR="004F2AD7" w:rsidRPr="004F2AD7" w:rsidRDefault="00BB05DA" w:rsidP="004F2AD7">
            <w:pPr>
              <w:pStyle w:val="Akapitzlist"/>
              <w:suppressAutoHyphens/>
              <w:spacing w:after="120" w:line="276" w:lineRule="auto"/>
              <w:ind w:left="502"/>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 takim przypadku możliwym jest przyjęcie, że Gmina nie prowadzi działalności związanej ze świadczeniem usług tym samym nie będzie uznana za przedsiębiorcę. W związku z tym dofinansowanie nie będzie stanowiło pomocy publicznej.</w:t>
            </w:r>
          </w:p>
          <w:p w14:paraId="212EEA87" w14:textId="77777777" w:rsidR="004F2AD7" w:rsidRDefault="00BB05DA" w:rsidP="004F2AD7">
            <w:pPr>
              <w:pStyle w:val="Akapitzlist"/>
              <w:suppressAutoHyphens/>
              <w:spacing w:after="120" w:line="276" w:lineRule="auto"/>
              <w:ind w:left="502"/>
              <w:contextualSpacing w:val="0"/>
              <w:rPr>
                <w:rFonts w:ascii="Arial" w:eastAsia="Times New Roman" w:hAnsi="Arial" w:cs="Arial"/>
                <w:iCs/>
                <w:sz w:val="24"/>
                <w:szCs w:val="24"/>
                <w:lang w:eastAsia="ar-SA"/>
              </w:rPr>
            </w:pPr>
            <w:r w:rsidRPr="004F2AD7">
              <w:rPr>
                <w:rFonts w:ascii="Arial" w:eastAsia="Times New Roman" w:hAnsi="Arial" w:cs="Arial"/>
                <w:iCs/>
                <w:sz w:val="24"/>
                <w:szCs w:val="24"/>
                <w:lang w:eastAsia="ar-SA"/>
              </w:rPr>
              <w:t>W takim przypadku koniecznym jest przedstawienie we wniosku o dofinansowanie stosownych informacji potwierdzających możliwość zastosowania tego wariantu.</w:t>
            </w:r>
          </w:p>
          <w:p w14:paraId="065500FF" w14:textId="60406350" w:rsidR="00BB05DA" w:rsidRPr="004F2AD7" w:rsidRDefault="00BB05DA" w:rsidP="004F2AD7">
            <w:pPr>
              <w:pStyle w:val="Akapitzlist"/>
              <w:numPr>
                <w:ilvl w:val="0"/>
                <w:numId w:val="43"/>
              </w:numPr>
              <w:suppressAutoHyphens/>
              <w:spacing w:after="120" w:line="276" w:lineRule="auto"/>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Wnioskodawcą projektu jest Gmina, która przekazała lub planuje powierzyć obsługę PSZOK własnej jednostce organizacyjnej</w:t>
            </w:r>
            <w:r w:rsidRPr="004F2AD7">
              <w:rPr>
                <w:rFonts w:ascii="Arial" w:eastAsia="Times New Roman" w:hAnsi="Arial" w:cs="Arial"/>
                <w:iCs/>
                <w:sz w:val="24"/>
                <w:szCs w:val="24"/>
                <w:lang w:eastAsia="ar-SA"/>
              </w:rPr>
              <w:t xml:space="preserve">  (np. jednostka budżetowa, zakład budżety, spółka komunalna). Wówczas dofinansowanie może zostać przyznane:</w:t>
            </w:r>
          </w:p>
          <w:p w14:paraId="0613DF07" w14:textId="77777777" w:rsidR="00BB05DA" w:rsidRDefault="00BB05DA" w:rsidP="004F2AD7">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w oparciu o pomoc de minimis – wówczas beneficjantem pomocy będzie jednostka organizacyjna – w tym zakresie patrz §16 ust. 13-17 Regulaminu naboru;</w:t>
            </w:r>
          </w:p>
          <w:p w14:paraId="653ED43B" w14:textId="77777777" w:rsidR="004F2AD7" w:rsidRPr="004F2AD7" w:rsidRDefault="00BB05DA" w:rsidP="004F2AD7">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w:t>
            </w:r>
            <w:r>
              <w:rPr>
                <w:rFonts w:ascii="Arial" w:eastAsia="Times New Roman" w:hAnsi="Arial" w:cs="Arial"/>
                <w:iCs/>
                <w:sz w:val="24"/>
                <w:szCs w:val="24"/>
                <w:lang w:eastAsia="ar-SA"/>
              </w:rPr>
              <w:lastRenderedPageBreak/>
              <w:t>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6D401828" w14:textId="763B8A8A" w:rsidR="00BB05DA" w:rsidRPr="004F2AD7" w:rsidRDefault="00BB05DA" w:rsidP="004F2AD7">
            <w:pPr>
              <w:pStyle w:val="Akapitzlist"/>
              <w:suppressAutoHyphens/>
              <w:spacing w:after="120" w:line="276" w:lineRule="auto"/>
              <w:ind w:left="928"/>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4EEB98C3" w14:textId="77777777" w:rsidR="00BB05DA" w:rsidRDefault="00BB05DA" w:rsidP="004F2AD7">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Gmina, która przekazała lub planuje powierzyć obsługę PSZOK podmiotowi zewnętrznemu</w:t>
            </w:r>
            <w:r>
              <w:rPr>
                <w:rFonts w:ascii="Arial" w:eastAsia="Times New Roman" w:hAnsi="Arial" w:cs="Arial"/>
                <w:iCs/>
                <w:sz w:val="24"/>
                <w:szCs w:val="24"/>
                <w:lang w:eastAsia="ar-SA"/>
              </w:rPr>
              <w:t>. Wówczas dofinansowanie może zostać przyznane:</w:t>
            </w:r>
          </w:p>
          <w:p w14:paraId="3F504FC6" w14:textId="77777777" w:rsidR="00BB05DA" w:rsidRDefault="00BB05DA" w:rsidP="004F2AD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urząd gminy – w tym zakresie patrz §16 ust. 13-17 Regulaminu naboru. W takim przypadku konieczne jest wykazanie, że udostępnienie infrastruktury nie spowoduje wystąpienia pomocy publicznej na poziomie operatora np. udostepnienie infrastruktury nastąpi po cenie rynkowej. </w:t>
            </w:r>
          </w:p>
          <w:p w14:paraId="0EF4D851" w14:textId="77777777" w:rsidR="004F2AD7" w:rsidRPr="004F2AD7" w:rsidRDefault="00BB05DA" w:rsidP="004F2AD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w:t>
            </w:r>
            <w:r>
              <w:rPr>
                <w:rFonts w:ascii="Arial" w:eastAsia="Times New Roman" w:hAnsi="Arial" w:cs="Arial"/>
                <w:iCs/>
                <w:sz w:val="24"/>
                <w:szCs w:val="24"/>
                <w:lang w:eastAsia="ar-SA"/>
              </w:rPr>
              <w:lastRenderedPageBreak/>
              <w:t>sfinansowanej w ramach projektu w tym sposób w jaki uwzględniono dofinansowanie w ramach kalkulacji rekompensaty.</w:t>
            </w:r>
          </w:p>
          <w:p w14:paraId="73ACCB82" w14:textId="77777777" w:rsidR="004F2AD7"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713458DC" w14:textId="77777777" w:rsidR="004F2AD7" w:rsidRPr="004F2AD7" w:rsidRDefault="00BB05DA" w:rsidP="004F2AD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10"/>
            </w:r>
            <w:r w:rsidRPr="004F2AD7">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1CF6A5BB" w14:textId="557128BA" w:rsidR="00BB05DA"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3D40BDBE" w14:textId="77777777" w:rsidR="00BB05DA" w:rsidRDefault="00BB05DA" w:rsidP="004F2AD7">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spółka komunalna.</w:t>
            </w:r>
            <w:r>
              <w:rPr>
                <w:rFonts w:ascii="Arial" w:eastAsia="Times New Roman" w:hAnsi="Arial" w:cs="Arial"/>
                <w:iCs/>
                <w:sz w:val="24"/>
                <w:szCs w:val="24"/>
                <w:lang w:eastAsia="ar-SA"/>
              </w:rPr>
              <w:t xml:space="preserve"> Wówczas dofinansowanie może zostać przyznane:</w:t>
            </w:r>
          </w:p>
          <w:p w14:paraId="77BBEE72" w14:textId="77777777" w:rsidR="00BB05DA" w:rsidRDefault="00BB05DA" w:rsidP="004F2AD7">
            <w:pPr>
              <w:pStyle w:val="Akapitzlist"/>
              <w:numPr>
                <w:ilvl w:val="0"/>
                <w:numId w:val="46"/>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w oparciu o pomoc de minimis – wówczas beneficjantem pomocy będzie spółka komunalna;</w:t>
            </w:r>
          </w:p>
          <w:p w14:paraId="66ED260E" w14:textId="77777777" w:rsidR="004F2AD7" w:rsidRPr="004F2AD7" w:rsidRDefault="00BB05DA" w:rsidP="004F2AD7">
            <w:pPr>
              <w:pStyle w:val="Akapitzlist"/>
              <w:numPr>
                <w:ilvl w:val="0"/>
                <w:numId w:val="46"/>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w:t>
            </w:r>
            <w:r>
              <w:rPr>
                <w:rFonts w:ascii="Arial" w:eastAsia="Times New Roman" w:hAnsi="Arial" w:cs="Arial"/>
                <w:iCs/>
                <w:sz w:val="24"/>
                <w:szCs w:val="24"/>
                <w:lang w:eastAsia="ar-SA"/>
              </w:rPr>
              <w:lastRenderedPageBreak/>
              <w:t>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2E6B9A91" w14:textId="26D8D196" w:rsidR="00BB05DA"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71158BD5" w14:textId="77777777" w:rsidR="00BB05DA" w:rsidRDefault="00BB05DA" w:rsidP="004F2AD7">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operator.</w:t>
            </w:r>
            <w:r>
              <w:rPr>
                <w:rFonts w:ascii="Arial" w:eastAsia="Times New Roman" w:hAnsi="Arial" w:cs="Arial"/>
                <w:iCs/>
                <w:sz w:val="24"/>
                <w:szCs w:val="24"/>
                <w:lang w:eastAsia="ar-SA"/>
              </w:rPr>
              <w:t xml:space="preserve"> Wówczas dofinansowanie może zostać przyznane:</w:t>
            </w:r>
          </w:p>
          <w:p w14:paraId="62A25E71" w14:textId="77777777" w:rsidR="00BB05DA" w:rsidRDefault="00BB05DA" w:rsidP="004F2AD7">
            <w:pPr>
              <w:pStyle w:val="Akapitzlist"/>
              <w:numPr>
                <w:ilvl w:val="0"/>
                <w:numId w:val="47"/>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w oparciu o pomoc de minimis – wówczas beneficjantem pomocy będzie operator;</w:t>
            </w:r>
          </w:p>
          <w:p w14:paraId="4B18E116" w14:textId="77777777" w:rsidR="004F2AD7" w:rsidRPr="004F2AD7" w:rsidRDefault="00BB05DA" w:rsidP="004F2AD7">
            <w:pPr>
              <w:pStyle w:val="Akapitzlist"/>
              <w:numPr>
                <w:ilvl w:val="0"/>
                <w:numId w:val="47"/>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00C69840" w14:textId="77777777" w:rsidR="004F2AD7"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lastRenderedPageBreak/>
              <w:t xml:space="preserve">W takim przypadku dofinansowanie dla Wnioskodawcy będzie stanowiło element rekompensaty i we wniosku powinno zostać wykazane jako pomoc publiczna.  </w:t>
            </w:r>
          </w:p>
          <w:p w14:paraId="7C7FB3CD" w14:textId="77777777" w:rsidR="004F2AD7" w:rsidRPr="004F2AD7" w:rsidRDefault="00BB05DA" w:rsidP="004F2AD7">
            <w:pPr>
              <w:pStyle w:val="Akapitzlist"/>
              <w:numPr>
                <w:ilvl w:val="0"/>
                <w:numId w:val="47"/>
              </w:numPr>
              <w:suppressAutoHyphens/>
              <w:spacing w:after="120" w:line="276" w:lineRule="auto"/>
              <w:ind w:left="1014" w:hanging="425"/>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11"/>
            </w:r>
            <w:r w:rsidRPr="004F2AD7">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702E8D78" w14:textId="487CF2E9" w:rsidR="00BB05DA"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 xml:space="preserve">W takim przypadku dofinansowanie dla Wnioskodawcy nie będzie stanowiło pomocy publicznej. </w:t>
            </w:r>
          </w:p>
          <w:p w14:paraId="44F62AAE" w14:textId="77777777" w:rsidR="00BB05DA" w:rsidRDefault="00BB05DA" w:rsidP="00BB05DA">
            <w:pPr>
              <w:pStyle w:val="Akapitzlist"/>
              <w:suppressAutoHyphens/>
              <w:spacing w:after="120" w:line="276" w:lineRule="auto"/>
              <w:ind w:left="1440"/>
              <w:rPr>
                <w:rFonts w:ascii="Arial" w:eastAsia="Times New Roman" w:hAnsi="Arial" w:cs="Arial"/>
                <w:iCs/>
                <w:sz w:val="24"/>
                <w:szCs w:val="24"/>
                <w:lang w:eastAsia="ar-SA"/>
              </w:rPr>
            </w:pPr>
          </w:p>
          <w:p w14:paraId="350C52CA" w14:textId="1D41EA82" w:rsidR="009E71CF" w:rsidRPr="00010F3B" w:rsidRDefault="00BB05DA" w:rsidP="00BB05DA">
            <w:pPr>
              <w:autoSpaceDE w:val="0"/>
              <w:autoSpaceDN w:val="0"/>
              <w:adjustRightInd w:val="0"/>
              <w:spacing w:after="120" w:line="276" w:lineRule="auto"/>
              <w:rPr>
                <w:rFonts w:ascii="Arial" w:eastAsia="Calibri" w:hAnsi="Arial" w:cs="Arial"/>
                <w:sz w:val="24"/>
              </w:rPr>
            </w:pPr>
            <w:r>
              <w:rPr>
                <w:rFonts w:ascii="Arial" w:eastAsia="Times New Roman" w:hAnsi="Arial" w:cs="Arial"/>
                <w:iCs/>
                <w:sz w:val="24"/>
                <w:szCs w:val="24"/>
                <w:lang w:eastAsia="ar-SA"/>
              </w:rPr>
              <w:t>W każdym ze scenariuszy, jeżeli niezbędne jest odniesienie się do kwestii rekompensaty - wyliczenia rekompensaty należy przestawić w ramach analizy finansowej – wraz ze wskazaniem sposobu ujęcia dofinansowania, wykorzystania infrastruktury sfinansowanej w ramach projektu, w wyliczeniu rekompensaty – kwestie te wymagają przedstawienia właściwego opisu w punkcie O.2.7 wniosku o dofinansowania oraz wyróżnienia w analizie finansowej zarówno w arkuszu Założenia, jak również w arkuszu Analizy specyficzne – Model rekompensaty.</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CF4080" w:rsidRPr="00C3662E" w:rsidRDefault="00CF4080" w:rsidP="00CF4080">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lastRenderedPageBreak/>
              <w:t xml:space="preserve">Pkt N.4.Trwałość finansowa </w:t>
            </w:r>
          </w:p>
          <w:p w14:paraId="76D89648" w14:textId="77777777" w:rsidR="00CF4080" w:rsidRPr="00C3662E" w:rsidRDefault="00CF4080" w:rsidP="00CF4080">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0F5A34A7" w14:textId="6E0A4E5A" w:rsidR="00D12185" w:rsidRDefault="00CF4080" w:rsidP="00CF4080">
            <w:pPr>
              <w:autoSpaceDE w:val="0"/>
              <w:autoSpaceDN w:val="0"/>
              <w:adjustRightInd w:val="0"/>
              <w:jc w:val="both"/>
              <w:rPr>
                <w:rFonts w:ascii="Arial" w:eastAsia="Calibri" w:hAnsi="Arial" w:cs="Arial"/>
                <w:b/>
                <w:sz w:val="24"/>
                <w:szCs w:val="24"/>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w:t>
            </w:r>
            <w:r w:rsidRPr="00C3662E">
              <w:rPr>
                <w:rFonts w:ascii="Arial" w:eastAsia="Calibri" w:hAnsi="Arial" w:cs="Arial"/>
                <w:sz w:val="24"/>
                <w:szCs w:val="24"/>
              </w:rPr>
              <w:t xml:space="preserve"> N.4.1) oraz fazę eksploatacji (pkt. N.4.2).</w:t>
            </w:r>
          </w:p>
        </w:tc>
      </w:tr>
      <w:tr w:rsidR="00D12185" w:rsidRPr="003D5A4C" w14:paraId="2EFAFA4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2BEF749" w14:textId="77777777" w:rsidR="00CF4080" w:rsidRPr="00C3662E" w:rsidRDefault="00CF4080" w:rsidP="00CF4080">
            <w:pPr>
              <w:spacing w:after="120" w:line="276" w:lineRule="auto"/>
              <w:rPr>
                <w:rFonts w:ascii="Arial" w:hAnsi="Arial" w:cs="Arial"/>
                <w:b/>
                <w:iCs/>
                <w:sz w:val="24"/>
                <w:szCs w:val="24"/>
              </w:rPr>
            </w:pPr>
            <w:r w:rsidRPr="00C3662E">
              <w:rPr>
                <w:rFonts w:ascii="Arial" w:hAnsi="Arial" w:cs="Arial"/>
                <w:b/>
                <w:iCs/>
                <w:sz w:val="24"/>
                <w:szCs w:val="24"/>
              </w:rPr>
              <w:lastRenderedPageBreak/>
              <w:t>Pkt O.2.3 Przychody operacyjne projektu</w:t>
            </w:r>
          </w:p>
          <w:p w14:paraId="19A6CC5E" w14:textId="132170AE" w:rsidR="00D12185" w:rsidRPr="000A5B75" w:rsidRDefault="00CF4080" w:rsidP="00CF4080">
            <w:pPr>
              <w:tabs>
                <w:tab w:val="left" w:pos="1545"/>
              </w:tabs>
              <w:suppressAutoHyphens/>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przychodów operacyjnych</w:t>
            </w:r>
            <w:r w:rsidRPr="00C3662E">
              <w:rPr>
                <w:rFonts w:ascii="Arial" w:hAnsi="Arial" w:cs="Arial"/>
                <w:sz w:val="24"/>
                <w:szCs w:val="24"/>
              </w:rPr>
              <w:t xml:space="preserve"> w przypadku projektów z zakresu gospodarki </w:t>
            </w:r>
            <w:r>
              <w:rPr>
                <w:rFonts w:ascii="Arial" w:hAnsi="Arial" w:cs="Arial"/>
                <w:sz w:val="24"/>
                <w:szCs w:val="24"/>
              </w:rPr>
              <w:t xml:space="preserve">odpadami </w:t>
            </w:r>
            <w:r w:rsidRPr="00C3662E">
              <w:rPr>
                <w:rFonts w:ascii="Arial" w:hAnsi="Arial" w:cs="Arial"/>
                <w:sz w:val="24"/>
                <w:szCs w:val="24"/>
              </w:rPr>
              <w:t xml:space="preserve">należy pamiętać o konieczności </w:t>
            </w:r>
            <w:r>
              <w:rPr>
                <w:rFonts w:ascii="Arial" w:hAnsi="Arial" w:cs="Arial"/>
                <w:sz w:val="24"/>
                <w:szCs w:val="24"/>
              </w:rPr>
              <w:t xml:space="preserve">sporządzenia ich w oparciu </w:t>
            </w:r>
            <w:r w:rsidRPr="00864DE7">
              <w:rPr>
                <w:rFonts w:ascii="Arial" w:hAnsi="Arial" w:cs="Arial"/>
                <w:sz w:val="24"/>
                <w:szCs w:val="24"/>
              </w:rPr>
              <w:t xml:space="preserve">o Ustawę z dnia 13 września 1996 r. o utrzymaniu czystości i porządku w gminach (ze szczególnym uwzględnieniem Rozdziału 3 </w:t>
            </w:r>
            <w:r>
              <w:rPr>
                <w:rFonts w:ascii="Arial" w:hAnsi="Arial" w:cs="Arial"/>
                <w:sz w:val="24"/>
                <w:szCs w:val="24"/>
              </w:rPr>
              <w:t xml:space="preserve">ww. </w:t>
            </w:r>
            <w:r w:rsidRPr="00864DE7">
              <w:rPr>
                <w:rFonts w:ascii="Arial" w:hAnsi="Arial" w:cs="Arial"/>
                <w:sz w:val="24"/>
                <w:szCs w:val="24"/>
              </w:rPr>
              <w:t>ustawy) oraz z uwzględnieniem zasady „zanieczyszczający płaci”, tzn. iż prognozowane przychody z tytułu opłat za odpady od mieszkańców powinny pokryć koszty funkcjonowania systemu gospodarki odpadami.</w:t>
            </w:r>
          </w:p>
        </w:tc>
      </w:tr>
      <w:tr w:rsidR="00D12185"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556B91D" w14:textId="77777777" w:rsidR="00CF4080" w:rsidRPr="007A3FD1" w:rsidRDefault="00CF4080" w:rsidP="00CF4080">
            <w:pPr>
              <w:autoSpaceDE w:val="0"/>
              <w:autoSpaceDN w:val="0"/>
              <w:adjustRightInd w:val="0"/>
              <w:spacing w:after="120" w:line="276" w:lineRule="auto"/>
              <w:jc w:val="both"/>
              <w:rPr>
                <w:rFonts w:ascii="Arial" w:hAnsi="Arial" w:cs="Arial"/>
                <w:b/>
                <w:sz w:val="24"/>
                <w:szCs w:val="24"/>
              </w:rPr>
            </w:pPr>
            <w:r w:rsidRPr="007A3FD1">
              <w:rPr>
                <w:rFonts w:ascii="Arial" w:eastAsia="Calibri" w:hAnsi="Arial" w:cs="Arial"/>
                <w:b/>
                <w:sz w:val="24"/>
                <w:szCs w:val="24"/>
              </w:rPr>
              <w:t>Pkt O.2.7 Inne założenia:</w:t>
            </w:r>
            <w:r w:rsidRPr="007A3FD1">
              <w:rPr>
                <w:rFonts w:ascii="Arial" w:hAnsi="Arial" w:cs="Arial"/>
                <w:b/>
                <w:sz w:val="24"/>
                <w:szCs w:val="24"/>
              </w:rPr>
              <w:t xml:space="preserve"> </w:t>
            </w:r>
          </w:p>
          <w:p w14:paraId="6D2EDFF4" w14:textId="2B085F6F" w:rsidR="00D12185" w:rsidRPr="00D12185" w:rsidRDefault="00CF4080" w:rsidP="00CF4080">
            <w:pPr>
              <w:autoSpaceDE w:val="0"/>
              <w:autoSpaceDN w:val="0"/>
              <w:adjustRightInd w:val="0"/>
              <w:jc w:val="both"/>
              <w:rPr>
                <w:rFonts w:ascii="Arial" w:eastAsia="Calibri" w:hAnsi="Arial" w:cs="Arial"/>
                <w:b/>
                <w:sz w:val="24"/>
                <w:szCs w:val="24"/>
              </w:rPr>
            </w:pPr>
            <w:r w:rsidRPr="00AF7B9D">
              <w:rPr>
                <w:rFonts w:ascii="Arial" w:hAnsi="Arial" w:cs="Arial"/>
                <w:sz w:val="24"/>
                <w:szCs w:val="24"/>
              </w:rPr>
              <w:t xml:space="preserve">W przypadku projektów inwestycyjnych, w których będzie prawdopodobne udzielenie </w:t>
            </w:r>
            <w:r w:rsidRPr="00AF7B9D">
              <w:rPr>
                <w:rFonts w:ascii="Arial" w:hAnsi="Arial" w:cs="Arial"/>
                <w:b/>
                <w:sz w:val="24"/>
                <w:szCs w:val="24"/>
              </w:rPr>
              <w:t>pomocy publicznej</w:t>
            </w:r>
            <w:r w:rsidRPr="00AF7B9D">
              <w:rPr>
                <w:rFonts w:ascii="Arial" w:hAnsi="Arial" w:cs="Arial"/>
                <w:sz w:val="24"/>
                <w:szCs w:val="24"/>
              </w:rPr>
              <w:t xml:space="preserve"> w szczególności </w:t>
            </w:r>
            <w:r w:rsidRPr="00AF7B9D">
              <w:rPr>
                <w:rFonts w:ascii="Arial" w:eastAsia="Times New Roman" w:hAnsi="Arial" w:cs="Arial"/>
                <w:iCs/>
                <w:sz w:val="24"/>
                <w:szCs w:val="24"/>
                <w:lang w:eastAsia="ar-SA"/>
              </w:rPr>
              <w:t>pomoc publicznej zgodną ze wspólnym rynkiem i przyznawanej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t>
            </w:r>
            <w:r w:rsidRPr="00AF7B9D">
              <w:rPr>
                <w:rFonts w:ascii="Arial" w:hAnsi="Arial" w:cs="Arial"/>
                <w:sz w:val="24"/>
                <w:szCs w:val="24"/>
              </w:rPr>
              <w:t xml:space="preserve"> Wnioskodawc</w:t>
            </w:r>
            <w:r>
              <w:rPr>
                <w:rFonts w:ascii="Arial" w:hAnsi="Arial" w:cs="Arial"/>
                <w:sz w:val="24"/>
                <w:szCs w:val="24"/>
              </w:rPr>
              <w:t>a</w:t>
            </w:r>
            <w:r w:rsidRPr="00AF7B9D">
              <w:rPr>
                <w:rFonts w:ascii="Arial" w:eastAsia="Times New Roman" w:hAnsi="Arial" w:cs="Arial"/>
                <w:iCs/>
                <w:sz w:val="24"/>
                <w:szCs w:val="24"/>
                <w:lang w:eastAsia="ar-SA"/>
              </w:rPr>
              <w:t xml:space="preserve"> w zależności od scenariuszy przyjętych w projekcie  (opisanych w </w:t>
            </w:r>
            <w:r w:rsidRPr="00AF7B9D">
              <w:rPr>
                <w:rFonts w:ascii="Arial" w:eastAsia="Times New Roman" w:hAnsi="Arial" w:cs="Arial"/>
                <w:b/>
                <w:iCs/>
                <w:sz w:val="24"/>
                <w:szCs w:val="24"/>
                <w:lang w:eastAsia="ar-SA"/>
              </w:rPr>
              <w:t>Pkt I Pomoc publiczna),</w:t>
            </w:r>
            <w:r>
              <w:rPr>
                <w:rFonts w:ascii="Arial" w:eastAsia="Times New Roman" w:hAnsi="Arial" w:cs="Arial"/>
                <w:b/>
                <w:iCs/>
                <w:sz w:val="24"/>
                <w:szCs w:val="24"/>
                <w:lang w:eastAsia="ar-SA"/>
              </w:rPr>
              <w:t xml:space="preserve"> </w:t>
            </w:r>
            <w:r w:rsidRPr="00AF7B9D">
              <w:rPr>
                <w:rFonts w:ascii="Arial" w:hAnsi="Arial" w:cs="Arial"/>
                <w:sz w:val="24"/>
                <w:szCs w:val="24"/>
              </w:rPr>
              <w:t xml:space="preserve">zobowiązany jest do odpowiedniego wykazania - poprzez stosowną kalkulację (w załączniku Analiza Finansowa, arkusz Analizy specyficzne) sposobu ustalania wysokości rekompensaty </w:t>
            </w:r>
            <w:r w:rsidRPr="00AF7B9D">
              <w:rPr>
                <w:rFonts w:ascii="Arial" w:eastAsia="Times New Roman" w:hAnsi="Arial" w:cs="Arial"/>
                <w:iCs/>
                <w:sz w:val="24"/>
                <w:szCs w:val="24"/>
                <w:lang w:eastAsia="ar-SA"/>
              </w:rPr>
              <w:t>w tym sposób obliczenia rekompensaty wraz z mechanizmem weryfikacji jej nadmierności lub/i uwzględnienia dofinansowanie w ramach kalkulacji rekompensaty</w:t>
            </w:r>
            <w:r w:rsidRPr="00AF7B9D">
              <w:rPr>
                <w:rFonts w:ascii="Arial" w:hAnsi="Arial" w:cs="Arial"/>
                <w:sz w:val="24"/>
                <w:szCs w:val="24"/>
              </w:rPr>
              <w:t xml:space="preserve"> oraz przedstawienie we wniosku o dofinansowanie w punkcie O.2.7 odpowiedniego uzasadnienia.</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77777777"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oraz odpowiedzialnych za gospodarkę wodną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094E05F6" w:rsidR="00923DE8" w:rsidRPr="00E4505B" w:rsidRDefault="00693285" w:rsidP="006C74F1">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t>dokumentu potwierdzającego zgodność z celami środowiskowymi określonymi dla jednolitych części wód wydawany jest przez Państwowe Gospodarstwo Wodne Wody Polskie właściwy Regionalny Zarząd Gospodarki Wodnej https://www.gov.pl/web/wody-polskie/potwierdzenie-zgodnosci-z-celami-srodowiskowymi</w:t>
            </w:r>
            <w:r>
              <w:rPr>
                <w:rFonts w:ascii="Arial" w:hAnsi="Arial" w:cs="Arial"/>
                <w:b/>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2"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693285">
            <w:pPr>
              <w:pStyle w:val="Default"/>
              <w:numPr>
                <w:ilvl w:val="0"/>
                <w:numId w:val="38"/>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693285">
            <w:pPr>
              <w:pStyle w:val="Default"/>
              <w:numPr>
                <w:ilvl w:val="0"/>
                <w:numId w:val="38"/>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693285">
            <w:pPr>
              <w:pStyle w:val="Default"/>
              <w:numPr>
                <w:ilvl w:val="0"/>
                <w:numId w:val="38"/>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lastRenderedPageBreak/>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ins w:id="1" w:author="Bistyga, Beata" w:date="2024-10-24T15:30:00Z"/>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2" w:name="_Toc490822583"/>
      <w:bookmarkStart w:id="3" w:name="_Toc526333448"/>
      <w:bookmarkStart w:id="4" w:name="_Toc5868601"/>
      <w:bookmarkStart w:id="5" w:name="_Toc526333447"/>
      <w:bookmarkStart w:id="6"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2"/>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3"/>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4"/>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5"/>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6"/>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7"/>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8"/>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9"/>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20"/>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693285">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2"/>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3"/>
      </w:r>
      <w:r w:rsidRPr="00715EC1">
        <w:rPr>
          <w:rFonts w:ascii="Arial" w:eastAsia="Calibri" w:hAnsi="Arial" w:cs="Calibri"/>
          <w:sz w:val="24"/>
          <w:lang w:eastAsia="ar-SA"/>
        </w:rPr>
        <w:t xml:space="preserve"> ww. projektu,</w:t>
      </w:r>
    </w:p>
    <w:p w14:paraId="5D472761"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2"/>
      <w:bookmarkEnd w:id="3"/>
      <w:bookmarkEnd w:id="4"/>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5"/>
      <w:bookmarkEnd w:id="6"/>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0967B0" w:rsidRDefault="000967B0" w:rsidP="00A07FB2">
      <w:pPr>
        <w:spacing w:after="0" w:line="240" w:lineRule="auto"/>
      </w:pPr>
      <w:r>
        <w:separator/>
      </w:r>
    </w:p>
  </w:endnote>
  <w:endnote w:type="continuationSeparator" w:id="0">
    <w:p w14:paraId="6AC67472" w14:textId="77777777" w:rsidR="000967B0" w:rsidRDefault="000967B0"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27ACD7C" w:rsidR="000967B0" w:rsidRDefault="000967B0">
        <w:pPr>
          <w:pStyle w:val="Stopka"/>
          <w:jc w:val="center"/>
        </w:pPr>
        <w:r>
          <w:fldChar w:fldCharType="begin"/>
        </w:r>
        <w:r>
          <w:instrText>PAGE   \* MERGEFORMAT</w:instrText>
        </w:r>
        <w:r>
          <w:fldChar w:fldCharType="separate"/>
        </w:r>
        <w:r w:rsidR="003A0DDE">
          <w:rPr>
            <w:noProof/>
          </w:rPr>
          <w:t>22</w:t>
        </w:r>
        <w:r>
          <w:fldChar w:fldCharType="end"/>
        </w:r>
      </w:p>
    </w:sdtContent>
  </w:sdt>
  <w:p w14:paraId="580015FB" w14:textId="77777777" w:rsidR="000967B0" w:rsidRDefault="000967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0967B0" w:rsidRDefault="000967B0" w:rsidP="00A07FB2">
      <w:pPr>
        <w:spacing w:after="0" w:line="240" w:lineRule="auto"/>
      </w:pPr>
      <w:r>
        <w:separator/>
      </w:r>
    </w:p>
  </w:footnote>
  <w:footnote w:type="continuationSeparator" w:id="0">
    <w:p w14:paraId="40D97AD4" w14:textId="77777777" w:rsidR="000967B0" w:rsidRDefault="000967B0" w:rsidP="00A07FB2">
      <w:pPr>
        <w:spacing w:after="0" w:line="240" w:lineRule="auto"/>
      </w:pPr>
      <w:r>
        <w:continuationSeparator/>
      </w:r>
    </w:p>
  </w:footnote>
  <w:footnote w:id="1">
    <w:p w14:paraId="58D2687E" w14:textId="77777777" w:rsidR="000967B0" w:rsidRPr="007E56C3" w:rsidRDefault="000967B0" w:rsidP="007E56C3">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AFF99F2" w14:textId="77777777" w:rsidR="000967B0" w:rsidRPr="007E56C3" w:rsidRDefault="000967B0" w:rsidP="007E56C3">
      <w:pPr>
        <w:pStyle w:val="Tekstprzypisudolnego"/>
        <w:ind w:left="142" w:hanging="142"/>
        <w:rPr>
          <w:rFonts w:cs="Arial"/>
        </w:rPr>
      </w:pPr>
      <w:r w:rsidRPr="007E56C3">
        <w:rPr>
          <w:rFonts w:cs="Arial"/>
        </w:rPr>
        <w:t>Preferowaną formą zgłaszania do IZ podejrzenia o niezgodności projektów lub działań w ww. zakresie</w:t>
      </w:r>
    </w:p>
    <w:p w14:paraId="5AC1892B" w14:textId="77777777" w:rsidR="000967B0" w:rsidRPr="007E56C3" w:rsidRDefault="000967B0" w:rsidP="007E56C3">
      <w:pPr>
        <w:pStyle w:val="Tekstprzypisudolnego"/>
        <w:ind w:left="142" w:hanging="142"/>
        <w:rPr>
          <w:rFonts w:cs="Arial"/>
        </w:rPr>
      </w:pPr>
      <w:r w:rsidRPr="007E56C3">
        <w:rPr>
          <w:rFonts w:cs="Arial"/>
        </w:rPr>
        <w:t>z Kartą Praw Podstawowych Unii Europejskiej lub Konwencją o Prawach Osób Niepełnosprawnych</w:t>
      </w:r>
    </w:p>
    <w:p w14:paraId="4DB80F8F" w14:textId="77777777" w:rsidR="000967B0" w:rsidRPr="007E56C3" w:rsidRDefault="000967B0" w:rsidP="007E56C3">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939D218" w14:textId="77777777" w:rsidR="000967B0" w:rsidRDefault="000967B0" w:rsidP="007E56C3">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0967B0" w:rsidRPr="00935F4B" w:rsidRDefault="000967B0"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D36A43A" w14:textId="77777777" w:rsidR="000967B0" w:rsidRPr="00872866" w:rsidRDefault="000967B0"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0967B0" w:rsidRDefault="000967B0"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0967B0" w:rsidRPr="00936DEE" w:rsidRDefault="000967B0"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0967B0" w:rsidRPr="00AF2ED0" w:rsidRDefault="000967B0"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0967B0" w:rsidRDefault="000967B0"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88C4326" w:rsidR="000967B0" w:rsidRPr="00143843" w:rsidRDefault="000967B0" w:rsidP="00143843">
      <w:pPr>
        <w:pStyle w:val="Tekstprzypisudolnego"/>
        <w:ind w:left="142" w:hanging="142"/>
        <w:jc w:val="both"/>
        <w:rPr>
          <w:rFonts w:cs="Arial"/>
        </w:rPr>
      </w:pPr>
      <w:r w:rsidRPr="00143843">
        <w:rPr>
          <w:rStyle w:val="Odwoanieprzypisudolnego"/>
        </w:rPr>
        <w:footnoteRef/>
      </w:r>
      <w:r w:rsidRPr="00143843">
        <w:t xml:space="preserve"> </w:t>
      </w:r>
      <w:r w:rsidRPr="00143843">
        <w:rPr>
          <w:rFonts w:cs="Arial"/>
        </w:rPr>
        <w:t xml:space="preserve">zgodnie z definicją zawartą w art. 2 ust. 2 Rozporządzenia Komisji (UE) nr 2023/2831 z dnia 13 grudnia 2023 r. w sprawie stosowania art. 107 i 108 Traktatu o funkcjonowaniu Unii Europejskiej do pomocy </w:t>
      </w:r>
      <w:r w:rsidRPr="00143843">
        <w:rPr>
          <w:rFonts w:cs="Arial"/>
          <w:i/>
        </w:rPr>
        <w:t>de minimis</w:t>
      </w:r>
    </w:p>
  </w:footnote>
  <w:footnote w:id="8">
    <w:p w14:paraId="2B625B41" w14:textId="77777777" w:rsidR="000967B0" w:rsidRPr="00143843" w:rsidRDefault="000967B0" w:rsidP="00143843">
      <w:pPr>
        <w:pStyle w:val="Tekstprzypisudolnego"/>
        <w:ind w:left="142" w:hanging="142"/>
      </w:pPr>
      <w:r w:rsidRPr="00143843">
        <w:rPr>
          <w:rStyle w:val="Odwoanieprzypisudolnego"/>
          <w:rFonts w:cs="Arial"/>
        </w:rPr>
        <w:footnoteRef/>
      </w:r>
      <w:r w:rsidRPr="00143843">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0967B0" w:rsidRPr="00A11461" w:rsidRDefault="000967B0" w:rsidP="00143843">
      <w:pPr>
        <w:pStyle w:val="Tekstprzypisudolnego"/>
        <w:ind w:left="142" w:hanging="142"/>
        <w:rPr>
          <w:rFonts w:cs="Arial"/>
          <w:sz w:val="18"/>
          <w:szCs w:val="18"/>
        </w:rPr>
      </w:pPr>
      <w:r w:rsidRPr="00143843">
        <w:rPr>
          <w:rStyle w:val="Odwoanieprzypisudolnego"/>
          <w:rFonts w:cs="Arial"/>
        </w:rPr>
        <w:footnoteRef/>
      </w:r>
      <w:r w:rsidRPr="00143843">
        <w:rPr>
          <w:rFonts w:cs="Arial"/>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7930C5CE" w14:textId="77777777" w:rsidR="000967B0" w:rsidRDefault="000967B0" w:rsidP="00BB05DA">
      <w:pPr>
        <w:pStyle w:val="Tekstprzypisudolnego"/>
      </w:pPr>
      <w:r>
        <w:rPr>
          <w:rStyle w:val="Odwoanieprzypisudolnego"/>
        </w:rPr>
        <w:footnoteRef/>
      </w:r>
      <w:r>
        <w:t xml:space="preserve"> Wyrok Trybunału Sprawiedliwości z dnia 24 lipca 2003 r. w sprawie C-280/00 Altmark Trans, ECLI:EU:C:2003:415, pkt 87-95</w:t>
      </w:r>
    </w:p>
  </w:footnote>
  <w:footnote w:id="11">
    <w:p w14:paraId="5F215836" w14:textId="77777777" w:rsidR="000967B0" w:rsidRDefault="000967B0" w:rsidP="00BB05DA">
      <w:pPr>
        <w:pStyle w:val="Tekstprzypisudolnego"/>
      </w:pPr>
      <w:r>
        <w:rPr>
          <w:rStyle w:val="Odwoanieprzypisudolnego"/>
        </w:rPr>
        <w:footnoteRef/>
      </w:r>
      <w:r>
        <w:t xml:space="preserve"> Wyrok Trybunału Sprawiedliwości z dnia 24 lipca 2003 r. w sprawie C-280/00 Altmark Trans, ECLI:EU:C:2003:415, pkt 87-95</w:t>
      </w:r>
    </w:p>
  </w:footnote>
  <w:footnote w:id="12">
    <w:p w14:paraId="04442931" w14:textId="77777777" w:rsidR="000967B0" w:rsidRDefault="000967B0" w:rsidP="005D28EE">
      <w:pPr>
        <w:pStyle w:val="Tekstprzypisudolnego"/>
      </w:pPr>
      <w:r w:rsidRPr="00FB225D">
        <w:rPr>
          <w:rStyle w:val="Odwoanieprzypisudolnego"/>
          <w:sz w:val="28"/>
        </w:rPr>
        <w:footnoteRef/>
      </w:r>
      <w:r w:rsidRPr="00660ED8">
        <w:rPr>
          <w:sz w:val="22"/>
        </w:rPr>
        <w:t xml:space="preserve"> Niewłaściwe skreślić</w:t>
      </w:r>
    </w:p>
  </w:footnote>
  <w:footnote w:id="13">
    <w:p w14:paraId="45ECF36C" w14:textId="77777777" w:rsidR="000967B0" w:rsidRDefault="000967B0"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4">
    <w:p w14:paraId="2E436009" w14:textId="77777777" w:rsidR="000967B0" w:rsidRDefault="000967B0"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5">
    <w:p w14:paraId="69C7FF07" w14:textId="77777777" w:rsidR="000967B0" w:rsidRDefault="000967B0"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388F8D81" w14:textId="77777777" w:rsidR="000967B0" w:rsidRDefault="000967B0" w:rsidP="005D28EE">
      <w:pPr>
        <w:pStyle w:val="Tekstprzypisudolnego"/>
      </w:pPr>
      <w:r>
        <w:rPr>
          <w:rStyle w:val="Odwoanieprzypisudolnego"/>
        </w:rPr>
        <w:footnoteRef/>
      </w:r>
      <w:r>
        <w:t xml:space="preserve"> </w:t>
      </w:r>
      <w:r w:rsidRPr="00660ED8">
        <w:rPr>
          <w:sz w:val="22"/>
        </w:rPr>
        <w:t>Niewłaściwe skreślić</w:t>
      </w:r>
    </w:p>
  </w:footnote>
  <w:footnote w:id="17">
    <w:p w14:paraId="76345F28" w14:textId="77777777" w:rsidR="000967B0" w:rsidRDefault="000967B0"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0967B0" w:rsidDel="004257EB" w:rsidRDefault="000967B0" w:rsidP="005D28EE">
      <w:pPr>
        <w:pStyle w:val="Tekstprzypisudolnego"/>
        <w:rPr>
          <w:del w:id="7" w:author="Zdziebko, Katarzyna" w:date="2024-06-10T14:51:00Z"/>
        </w:rPr>
      </w:pPr>
      <w:r w:rsidRPr="004257EB">
        <w:rPr>
          <w:sz w:val="28"/>
          <w:szCs w:val="28"/>
          <w:vertAlign w:val="superscript"/>
        </w:rPr>
        <w:t xml:space="preserve">7 </w:t>
      </w:r>
      <w:r>
        <w:rPr>
          <w:sz w:val="22"/>
          <w:szCs w:val="22"/>
        </w:rPr>
        <w:t>Niewłaściwe skreślić</w:t>
      </w:r>
    </w:p>
  </w:footnote>
  <w:footnote w:id="18">
    <w:p w14:paraId="3EF292E2" w14:textId="77777777" w:rsidR="000967B0" w:rsidRDefault="000967B0"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9">
    <w:p w14:paraId="7AF9BF17" w14:textId="62E998DC" w:rsidR="000967B0" w:rsidRDefault="000967B0"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0">
    <w:p w14:paraId="5A24D123" w14:textId="77777777" w:rsidR="000967B0" w:rsidRDefault="000967B0"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1">
    <w:p w14:paraId="51780840" w14:textId="77777777" w:rsidR="000967B0" w:rsidRDefault="000967B0" w:rsidP="00715EC1">
      <w:pPr>
        <w:pStyle w:val="Tekstprzypisudolnego"/>
      </w:pPr>
      <w:r w:rsidRPr="00AE1361">
        <w:rPr>
          <w:rStyle w:val="Odwoanieprzypisudolnego"/>
          <w:sz w:val="22"/>
        </w:rPr>
        <w:footnoteRef/>
      </w:r>
      <w:r w:rsidRPr="00AE1361">
        <w:rPr>
          <w:sz w:val="22"/>
        </w:rPr>
        <w:t xml:space="preserve"> Niewłaściwe skreślić</w:t>
      </w:r>
    </w:p>
  </w:footnote>
  <w:footnote w:id="22">
    <w:p w14:paraId="04E1659B" w14:textId="77777777" w:rsidR="000967B0" w:rsidRDefault="000967B0"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3">
    <w:p w14:paraId="5603A36E" w14:textId="77777777" w:rsidR="000967B0" w:rsidRDefault="000967B0"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20F0369"/>
    <w:multiLevelType w:val="hybridMultilevel"/>
    <w:tmpl w:val="F2E85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C115F9F"/>
    <w:multiLevelType w:val="hybridMultilevel"/>
    <w:tmpl w:val="771E3AF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7F51E98"/>
    <w:multiLevelType w:val="hybridMultilevel"/>
    <w:tmpl w:val="D04A2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B571D6C"/>
    <w:multiLevelType w:val="multilevel"/>
    <w:tmpl w:val="DD6400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E2503C"/>
    <w:multiLevelType w:val="hybridMultilevel"/>
    <w:tmpl w:val="66F40EE6"/>
    <w:lvl w:ilvl="0" w:tplc="0415001B">
      <w:start w:val="1"/>
      <w:numFmt w:val="lowerRoman"/>
      <w:lvlText w:val="%1."/>
      <w:lvlJc w:val="righ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3"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8"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4"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29763BA"/>
    <w:multiLevelType w:val="hybridMultilevel"/>
    <w:tmpl w:val="33A0D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5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8"/>
  </w:num>
  <w:num w:numId="2">
    <w:abstractNumId w:val="7"/>
  </w:num>
  <w:num w:numId="3">
    <w:abstractNumId w:val="18"/>
  </w:num>
  <w:num w:numId="4">
    <w:abstractNumId w:val="0"/>
  </w:num>
  <w:num w:numId="5">
    <w:abstractNumId w:val="46"/>
  </w:num>
  <w:num w:numId="6">
    <w:abstractNumId w:val="50"/>
  </w:num>
  <w:num w:numId="7">
    <w:abstractNumId w:val="34"/>
  </w:num>
  <w:num w:numId="8">
    <w:abstractNumId w:val="19"/>
  </w:num>
  <w:num w:numId="9">
    <w:abstractNumId w:val="42"/>
  </w:num>
  <w:num w:numId="10">
    <w:abstractNumId w:val="23"/>
  </w:num>
  <w:num w:numId="11">
    <w:abstractNumId w:val="30"/>
  </w:num>
  <w:num w:numId="12">
    <w:abstractNumId w:val="51"/>
  </w:num>
  <w:num w:numId="13">
    <w:abstractNumId w:val="20"/>
  </w:num>
  <w:num w:numId="14">
    <w:abstractNumId w:val="41"/>
  </w:num>
  <w:num w:numId="15">
    <w:abstractNumId w:val="5"/>
  </w:num>
  <w:num w:numId="16">
    <w:abstractNumId w:val="40"/>
  </w:num>
  <w:num w:numId="17">
    <w:abstractNumId w:val="16"/>
  </w:num>
  <w:num w:numId="18">
    <w:abstractNumId w:val="12"/>
  </w:num>
  <w:num w:numId="19">
    <w:abstractNumId w:val="17"/>
  </w:num>
  <w:num w:numId="20">
    <w:abstractNumId w:val="14"/>
  </w:num>
  <w:num w:numId="21">
    <w:abstractNumId w:val="38"/>
  </w:num>
  <w:num w:numId="22">
    <w:abstractNumId w:val="21"/>
  </w:num>
  <w:num w:numId="23">
    <w:abstractNumId w:val="8"/>
  </w:num>
  <w:num w:numId="24">
    <w:abstractNumId w:val="15"/>
  </w:num>
  <w:num w:numId="25">
    <w:abstractNumId w:val="31"/>
  </w:num>
  <w:num w:numId="26">
    <w:abstractNumId w:val="10"/>
  </w:num>
  <w:num w:numId="27">
    <w:abstractNumId w:val="44"/>
  </w:num>
  <w:num w:numId="28">
    <w:abstractNumId w:val="1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num>
  <w:num w:numId="31">
    <w:abstractNumId w:val="2"/>
  </w:num>
  <w:num w:numId="32">
    <w:abstractNumId w:val="24"/>
  </w:num>
  <w:num w:numId="33">
    <w:abstractNumId w:val="53"/>
  </w:num>
  <w:num w:numId="34">
    <w:abstractNumId w:val="35"/>
  </w:num>
  <w:num w:numId="35">
    <w:abstractNumId w:val="25"/>
  </w:num>
  <w:num w:numId="36">
    <w:abstractNumId w:val="9"/>
  </w:num>
  <w:num w:numId="37">
    <w:abstractNumId w:val="52"/>
  </w:num>
  <w:num w:numId="38">
    <w:abstractNumId w:val="26"/>
  </w:num>
  <w:num w:numId="39">
    <w:abstractNumId w:val="47"/>
  </w:num>
  <w:num w:numId="40">
    <w:abstractNumId w:val="3"/>
  </w:num>
  <w:num w:numId="41">
    <w:abstractNumId w:val="22"/>
  </w:num>
  <w:num w:numId="42">
    <w:abstractNumId w:val="37"/>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5"/>
  </w:num>
  <w:num w:numId="60">
    <w:abstractNumId w:val="48"/>
  </w:num>
  <w:num w:numId="61">
    <w:abstractNumId w:val="6"/>
  </w:num>
  <w:num w:numId="62">
    <w:abstractNumId w:val="13"/>
  </w:num>
  <w:num w:numId="63">
    <w:abstractNumId w:val="11"/>
  </w:num>
  <w:num w:numId="64">
    <w:abstractNumId w:val="32"/>
    <w:lvlOverride w:ilvl="0">
      <w:startOverride w:val="1"/>
    </w:lvlOverride>
    <w:lvlOverride w:ilvl="1"/>
    <w:lvlOverride w:ilvl="2"/>
    <w:lvlOverride w:ilvl="3"/>
    <w:lvlOverride w:ilvl="4"/>
    <w:lvlOverride w:ilvl="5"/>
    <w:lvlOverride w:ilvl="6"/>
    <w:lvlOverride w:ilvl="7"/>
    <w:lvlOverride w:ilvl="8"/>
  </w:num>
  <w:num w:numId="65">
    <w:abstractNumId w:val="3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styga, Beata">
    <w15:presenceInfo w15:providerId="AD" w15:userId="S-1-5-21-2657086810-3006226730-1577894517-2455"/>
  </w15:person>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67B0"/>
    <w:rsid w:val="00097039"/>
    <w:rsid w:val="00097115"/>
    <w:rsid w:val="00097C70"/>
    <w:rsid w:val="000A2128"/>
    <w:rsid w:val="000A2F54"/>
    <w:rsid w:val="000A4B6F"/>
    <w:rsid w:val="000A5B75"/>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9AC"/>
    <w:rsid w:val="00295D06"/>
    <w:rsid w:val="002A1218"/>
    <w:rsid w:val="002A353B"/>
    <w:rsid w:val="002A62E2"/>
    <w:rsid w:val="002B0A5D"/>
    <w:rsid w:val="002B0D3D"/>
    <w:rsid w:val="002C180B"/>
    <w:rsid w:val="002D1093"/>
    <w:rsid w:val="002D3ABC"/>
    <w:rsid w:val="002D3DFB"/>
    <w:rsid w:val="002D65DA"/>
    <w:rsid w:val="002E3A0C"/>
    <w:rsid w:val="002E42E5"/>
    <w:rsid w:val="002E7070"/>
    <w:rsid w:val="002E72A5"/>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0DDE"/>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3742"/>
    <w:rsid w:val="004D3F1F"/>
    <w:rsid w:val="004D5828"/>
    <w:rsid w:val="004D775A"/>
    <w:rsid w:val="004E114F"/>
    <w:rsid w:val="004E4DC1"/>
    <w:rsid w:val="004E640A"/>
    <w:rsid w:val="004F2AD7"/>
    <w:rsid w:val="004F676B"/>
    <w:rsid w:val="004F6ACA"/>
    <w:rsid w:val="005030A7"/>
    <w:rsid w:val="00506B81"/>
    <w:rsid w:val="00506B97"/>
    <w:rsid w:val="00507168"/>
    <w:rsid w:val="00513C25"/>
    <w:rsid w:val="005154B2"/>
    <w:rsid w:val="00521F27"/>
    <w:rsid w:val="00524CC7"/>
    <w:rsid w:val="005257E4"/>
    <w:rsid w:val="00530548"/>
    <w:rsid w:val="00530E0A"/>
    <w:rsid w:val="00534496"/>
    <w:rsid w:val="005347DE"/>
    <w:rsid w:val="0054369B"/>
    <w:rsid w:val="0055583A"/>
    <w:rsid w:val="00561BCA"/>
    <w:rsid w:val="00571333"/>
    <w:rsid w:val="00572DBA"/>
    <w:rsid w:val="005735B4"/>
    <w:rsid w:val="00574EAB"/>
    <w:rsid w:val="0057612C"/>
    <w:rsid w:val="0057674A"/>
    <w:rsid w:val="005905DE"/>
    <w:rsid w:val="00591312"/>
    <w:rsid w:val="00593BAD"/>
    <w:rsid w:val="0059610E"/>
    <w:rsid w:val="005A6AD2"/>
    <w:rsid w:val="005A6B8F"/>
    <w:rsid w:val="005B2393"/>
    <w:rsid w:val="005B2C94"/>
    <w:rsid w:val="005B6E73"/>
    <w:rsid w:val="005B7836"/>
    <w:rsid w:val="005C060E"/>
    <w:rsid w:val="005C5B21"/>
    <w:rsid w:val="005D173B"/>
    <w:rsid w:val="005D28EE"/>
    <w:rsid w:val="005D4322"/>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2711"/>
    <w:rsid w:val="0072593F"/>
    <w:rsid w:val="00730264"/>
    <w:rsid w:val="0073649C"/>
    <w:rsid w:val="00750297"/>
    <w:rsid w:val="007566F3"/>
    <w:rsid w:val="007749C3"/>
    <w:rsid w:val="00776031"/>
    <w:rsid w:val="007855C3"/>
    <w:rsid w:val="007856B8"/>
    <w:rsid w:val="00786F08"/>
    <w:rsid w:val="00792CDD"/>
    <w:rsid w:val="007A1BA4"/>
    <w:rsid w:val="007A2332"/>
    <w:rsid w:val="007A6331"/>
    <w:rsid w:val="007B4278"/>
    <w:rsid w:val="007B67D8"/>
    <w:rsid w:val="007C70C4"/>
    <w:rsid w:val="007C74F1"/>
    <w:rsid w:val="007D019B"/>
    <w:rsid w:val="007D1DDD"/>
    <w:rsid w:val="007D51C0"/>
    <w:rsid w:val="007E2634"/>
    <w:rsid w:val="007E3E8F"/>
    <w:rsid w:val="007E56C3"/>
    <w:rsid w:val="007F0DD2"/>
    <w:rsid w:val="007F351A"/>
    <w:rsid w:val="007F3622"/>
    <w:rsid w:val="007F4289"/>
    <w:rsid w:val="007F62CC"/>
    <w:rsid w:val="007F6419"/>
    <w:rsid w:val="00800090"/>
    <w:rsid w:val="00800168"/>
    <w:rsid w:val="00800A2D"/>
    <w:rsid w:val="00800E6F"/>
    <w:rsid w:val="0081423B"/>
    <w:rsid w:val="00832F0B"/>
    <w:rsid w:val="0083644B"/>
    <w:rsid w:val="00841613"/>
    <w:rsid w:val="00853728"/>
    <w:rsid w:val="00856C12"/>
    <w:rsid w:val="00861799"/>
    <w:rsid w:val="008639C8"/>
    <w:rsid w:val="00867D29"/>
    <w:rsid w:val="00871CD6"/>
    <w:rsid w:val="008774D5"/>
    <w:rsid w:val="008802D9"/>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1E65"/>
    <w:rsid w:val="008E48A1"/>
    <w:rsid w:val="008E5800"/>
    <w:rsid w:val="008E5F63"/>
    <w:rsid w:val="008E7295"/>
    <w:rsid w:val="008E78CF"/>
    <w:rsid w:val="008F1C7F"/>
    <w:rsid w:val="00906DBB"/>
    <w:rsid w:val="0091491F"/>
    <w:rsid w:val="00917226"/>
    <w:rsid w:val="00923DE8"/>
    <w:rsid w:val="009257A1"/>
    <w:rsid w:val="00932442"/>
    <w:rsid w:val="009355E4"/>
    <w:rsid w:val="009358E2"/>
    <w:rsid w:val="00935F4B"/>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B3126"/>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4835"/>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3F16"/>
    <w:rsid w:val="00B84E21"/>
    <w:rsid w:val="00B91584"/>
    <w:rsid w:val="00B9275A"/>
    <w:rsid w:val="00B94565"/>
    <w:rsid w:val="00B94E5C"/>
    <w:rsid w:val="00B971D9"/>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2C9C"/>
    <w:rsid w:val="00D3617A"/>
    <w:rsid w:val="00D37399"/>
    <w:rsid w:val="00D43427"/>
    <w:rsid w:val="00D45FB7"/>
    <w:rsid w:val="00D5215E"/>
    <w:rsid w:val="00D5498D"/>
    <w:rsid w:val="00D62787"/>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36E3"/>
    <w:rsid w:val="00E0463A"/>
    <w:rsid w:val="00E04B63"/>
    <w:rsid w:val="00E1309D"/>
    <w:rsid w:val="00E1352B"/>
    <w:rsid w:val="00E22A80"/>
    <w:rsid w:val="00E256A2"/>
    <w:rsid w:val="00E26A9C"/>
    <w:rsid w:val="00E27FB4"/>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C7D6E"/>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890">
      <w:bodyDiv w:val="1"/>
      <w:marLeft w:val="0"/>
      <w:marRight w:val="0"/>
      <w:marTop w:val="0"/>
      <w:marBottom w:val="0"/>
      <w:divBdr>
        <w:top w:val="none" w:sz="0" w:space="0" w:color="auto"/>
        <w:left w:val="none" w:sz="0" w:space="0" w:color="auto"/>
        <w:bottom w:val="none" w:sz="0" w:space="0" w:color="auto"/>
        <w:right w:val="none" w:sz="0" w:space="0" w:color="auto"/>
      </w:divBdr>
    </w:div>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403454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 w:id="210090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6D415-C068-46AD-B6FC-8C1CDC780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9246</Words>
  <Characters>55479</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cp:lastPrinted>2025-02-20T14:27:00Z</cp:lastPrinted>
  <dcterms:created xsi:type="dcterms:W3CDTF">2025-02-20T14:20:00Z</dcterms:created>
  <dcterms:modified xsi:type="dcterms:W3CDTF">2025-02-20T14:29:00Z</dcterms:modified>
</cp:coreProperties>
</file>