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C8D06" w14:textId="28593E3A" w:rsidR="00757105" w:rsidRPr="000F5916" w:rsidRDefault="00757105" w:rsidP="000F5916">
      <w:pPr>
        <w:pStyle w:val="Nagwek1"/>
      </w:pPr>
      <w:r w:rsidRPr="000F5916">
        <w:t xml:space="preserve">ANEKS NR </w:t>
      </w:r>
      <w:r w:rsidR="00F01800" w:rsidRPr="000F5916">
        <w:t>5</w:t>
      </w:r>
    </w:p>
    <w:p w14:paraId="53DDCA28" w14:textId="06C4151F" w:rsidR="00324372" w:rsidRPr="000F5916" w:rsidRDefault="00757105" w:rsidP="000F5916">
      <w:pPr>
        <w:pStyle w:val="Nagwek1"/>
      </w:pPr>
      <w:r w:rsidRPr="000F5916">
        <w:t xml:space="preserve">DO KONTRAKTU PROGRAMOWEGO DLA WOJEWÓDZTWA </w:t>
      </w:r>
      <w:r w:rsidR="00A74E03" w:rsidRPr="000F5916">
        <w:t>MAŁOPOLSKIEGO</w:t>
      </w:r>
    </w:p>
    <w:p w14:paraId="32968F40" w14:textId="55025840" w:rsidR="00757105" w:rsidRPr="000F5916" w:rsidRDefault="00757105" w:rsidP="000F5916">
      <w:pPr>
        <w:pStyle w:val="Nagwek1"/>
      </w:pPr>
    </w:p>
    <w:p w14:paraId="4D16C12F" w14:textId="73F63AC3" w:rsidR="00ED4296" w:rsidRPr="00187A8A" w:rsidRDefault="00ED4296" w:rsidP="00ED6DD3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zawarty w dniu </w:t>
      </w:r>
      <w:r w:rsidR="00E55965">
        <w:rPr>
          <w:rFonts w:ascii="Century Gothic" w:hAnsi="Century Gothic"/>
          <w:sz w:val="20"/>
          <w:szCs w:val="20"/>
        </w:rPr>
        <w:t>23</w:t>
      </w:r>
      <w:r w:rsidR="009A5A69">
        <w:rPr>
          <w:rFonts w:ascii="Century Gothic" w:hAnsi="Century Gothic"/>
          <w:sz w:val="20"/>
          <w:szCs w:val="20"/>
        </w:rPr>
        <w:t xml:space="preserve"> grudnia </w:t>
      </w:r>
      <w:r w:rsidRPr="00187A8A">
        <w:rPr>
          <w:rFonts w:ascii="Century Gothic" w:hAnsi="Century Gothic"/>
          <w:sz w:val="20"/>
          <w:szCs w:val="20"/>
        </w:rPr>
        <w:t xml:space="preserve"> 202</w:t>
      </w:r>
      <w:r w:rsidR="00140CAC">
        <w:rPr>
          <w:rFonts w:ascii="Century Gothic" w:hAnsi="Century Gothic"/>
          <w:sz w:val="20"/>
          <w:szCs w:val="20"/>
        </w:rPr>
        <w:t>5</w:t>
      </w:r>
      <w:r w:rsidRPr="00187A8A">
        <w:rPr>
          <w:rFonts w:ascii="Century Gothic" w:hAnsi="Century Gothic"/>
          <w:sz w:val="20"/>
          <w:szCs w:val="20"/>
        </w:rPr>
        <w:t xml:space="preserve"> r. w </w:t>
      </w:r>
      <w:r w:rsidR="006C1B40">
        <w:rPr>
          <w:rFonts w:ascii="Century Gothic" w:hAnsi="Century Gothic"/>
          <w:sz w:val="20"/>
          <w:szCs w:val="20"/>
        </w:rPr>
        <w:t>Krakowie</w:t>
      </w:r>
      <w:r w:rsidRPr="00187A8A">
        <w:rPr>
          <w:rFonts w:ascii="Century Gothic" w:hAnsi="Century Gothic"/>
          <w:sz w:val="20"/>
          <w:szCs w:val="20"/>
        </w:rPr>
        <w:t>,</w:t>
      </w:r>
    </w:p>
    <w:p w14:paraId="7CFDF59F" w14:textId="77777777" w:rsidR="00ED4296" w:rsidRPr="00187A8A" w:rsidRDefault="00ED4296" w:rsidP="00ED6DD3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między</w:t>
      </w:r>
    </w:p>
    <w:p w14:paraId="0AFA4B64" w14:textId="7DFD8097" w:rsidR="00952062" w:rsidRPr="001845AB" w:rsidRDefault="007D0AB0" w:rsidP="00952062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Ministrem Funduszy i Polityki Regionalnej, zwanym dalej „Ministrem”, w imieniu którego działa </w:t>
      </w:r>
      <w:r w:rsidR="00140CAC">
        <w:rPr>
          <w:rFonts w:ascii="Century Gothic" w:hAnsi="Century Gothic"/>
          <w:sz w:val="20"/>
          <w:szCs w:val="20"/>
        </w:rPr>
        <w:t>Jac</w:t>
      </w:r>
      <w:r>
        <w:rPr>
          <w:rFonts w:ascii="Century Gothic" w:hAnsi="Century Gothic"/>
          <w:sz w:val="20"/>
          <w:szCs w:val="20"/>
        </w:rPr>
        <w:t>e</w:t>
      </w:r>
      <w:r w:rsidR="00140CAC">
        <w:rPr>
          <w:rFonts w:ascii="Century Gothic" w:hAnsi="Century Gothic"/>
          <w:sz w:val="20"/>
          <w:szCs w:val="20"/>
        </w:rPr>
        <w:t>k Karnowski</w:t>
      </w:r>
      <w:r w:rsidR="00BD5CC6">
        <w:rPr>
          <w:rFonts w:ascii="Century Gothic" w:hAnsi="Century Gothic"/>
          <w:sz w:val="20"/>
          <w:szCs w:val="20"/>
        </w:rPr>
        <w:t xml:space="preserve">, </w:t>
      </w:r>
      <w:r w:rsidR="00140CAC">
        <w:rPr>
          <w:rFonts w:ascii="Century Gothic" w:hAnsi="Century Gothic"/>
          <w:sz w:val="20"/>
          <w:szCs w:val="20"/>
        </w:rPr>
        <w:t xml:space="preserve">Sekretarz Stanu w </w:t>
      </w:r>
      <w:r w:rsidR="00952062" w:rsidRPr="001845AB">
        <w:rPr>
          <w:rFonts w:ascii="Century Gothic" w:hAnsi="Century Gothic"/>
          <w:sz w:val="20"/>
          <w:szCs w:val="20"/>
        </w:rPr>
        <w:t>Minist</w:t>
      </w:r>
      <w:r w:rsidR="00140CAC">
        <w:rPr>
          <w:rFonts w:ascii="Century Gothic" w:hAnsi="Century Gothic"/>
          <w:sz w:val="20"/>
          <w:szCs w:val="20"/>
        </w:rPr>
        <w:t>erstwie</w:t>
      </w:r>
      <w:r w:rsidR="00952062" w:rsidRPr="001845AB">
        <w:rPr>
          <w:rFonts w:ascii="Century Gothic" w:hAnsi="Century Gothic"/>
          <w:sz w:val="20"/>
          <w:szCs w:val="20"/>
        </w:rPr>
        <w:t xml:space="preserve"> Funduszy i Polityki Regionalnej</w:t>
      </w:r>
      <w:r>
        <w:rPr>
          <w:rFonts w:ascii="Century Gothic" w:hAnsi="Century Gothic"/>
          <w:sz w:val="20"/>
          <w:szCs w:val="20"/>
        </w:rPr>
        <w:t xml:space="preserve">, na podstawie pełnomocnictwa nr </w:t>
      </w:r>
      <w:proofErr w:type="spellStart"/>
      <w:r>
        <w:rPr>
          <w:rFonts w:ascii="Century Gothic" w:hAnsi="Century Gothic"/>
          <w:sz w:val="20"/>
          <w:szCs w:val="20"/>
        </w:rPr>
        <w:t>MFiPR</w:t>
      </w:r>
      <w:proofErr w:type="spellEnd"/>
      <w:r>
        <w:rPr>
          <w:rFonts w:ascii="Century Gothic" w:hAnsi="Century Gothic"/>
          <w:sz w:val="20"/>
          <w:szCs w:val="20"/>
        </w:rPr>
        <w:t>/405-PM/24 z dnia 8 lipca 2024 r.</w:t>
      </w:r>
      <w:r w:rsidR="00D65513">
        <w:rPr>
          <w:rFonts w:ascii="Century Gothic" w:hAnsi="Century Gothic"/>
          <w:sz w:val="20"/>
          <w:szCs w:val="20"/>
        </w:rPr>
        <w:t xml:space="preserve">, stanowiącego załącznik nr 1 </w:t>
      </w:r>
      <w:r w:rsidR="00D65513">
        <w:rPr>
          <w:rFonts w:ascii="Century Gothic" w:hAnsi="Century Gothic"/>
          <w:sz w:val="20"/>
          <w:szCs w:val="20"/>
        </w:rPr>
        <w:br/>
        <w:t>do Aneksu,</w:t>
      </w:r>
    </w:p>
    <w:p w14:paraId="5B27F9AE" w14:textId="77777777" w:rsidR="00ED4296" w:rsidRPr="00187A8A" w:rsidRDefault="00ED4296" w:rsidP="007D0AB0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oraz</w:t>
      </w:r>
    </w:p>
    <w:p w14:paraId="27A273A9" w14:textId="132DC1BC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Zarząd</w:t>
      </w:r>
      <w:r w:rsidR="003B45DE">
        <w:rPr>
          <w:rFonts w:ascii="Century Gothic" w:hAnsi="Century Gothic"/>
          <w:sz w:val="20"/>
          <w:szCs w:val="20"/>
        </w:rPr>
        <w:t>em</w:t>
      </w:r>
      <w:r w:rsidRPr="00187A8A">
        <w:rPr>
          <w:rFonts w:ascii="Century Gothic" w:hAnsi="Century Gothic"/>
          <w:sz w:val="20"/>
          <w:szCs w:val="20"/>
        </w:rPr>
        <w:t xml:space="preserve">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>, zwany</w:t>
      </w:r>
      <w:r w:rsidR="003B45DE">
        <w:rPr>
          <w:rFonts w:ascii="Century Gothic" w:hAnsi="Century Gothic"/>
          <w:sz w:val="20"/>
          <w:szCs w:val="20"/>
        </w:rPr>
        <w:t>m</w:t>
      </w:r>
      <w:r w:rsidRPr="00187A8A">
        <w:rPr>
          <w:rFonts w:ascii="Century Gothic" w:hAnsi="Century Gothic"/>
          <w:sz w:val="20"/>
          <w:szCs w:val="20"/>
        </w:rPr>
        <w:t xml:space="preserve"> dalej „Stroną samorządową” lub „Instytucją Zarządzającą”, reprezentowany</w:t>
      </w:r>
      <w:r w:rsidR="003B45DE">
        <w:rPr>
          <w:rFonts w:ascii="Century Gothic" w:hAnsi="Century Gothic"/>
          <w:sz w:val="20"/>
          <w:szCs w:val="20"/>
        </w:rPr>
        <w:t>m</w:t>
      </w:r>
      <w:r w:rsidRPr="00187A8A">
        <w:rPr>
          <w:rFonts w:ascii="Century Gothic" w:hAnsi="Century Gothic"/>
          <w:sz w:val="20"/>
          <w:szCs w:val="20"/>
        </w:rPr>
        <w:t xml:space="preserve"> przez:</w:t>
      </w:r>
    </w:p>
    <w:p w14:paraId="1E3BE001" w14:textId="34A8F04C" w:rsidR="00ED4296" w:rsidRPr="00187A8A" w:rsidRDefault="000A1F57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Łukasza Smółkę</w:t>
      </w:r>
      <w:r w:rsidR="00ED4296" w:rsidRPr="00187A8A">
        <w:rPr>
          <w:rFonts w:ascii="Century Gothic" w:hAnsi="Century Gothic"/>
          <w:sz w:val="20"/>
          <w:szCs w:val="20"/>
        </w:rPr>
        <w:t xml:space="preserve">, Marszałka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7A0D5662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oraz</w:t>
      </w:r>
    </w:p>
    <w:p w14:paraId="6CB7ED80" w14:textId="44ADD533" w:rsidR="00ED4296" w:rsidRPr="00187A8A" w:rsidRDefault="000A1F57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Witolda Kozłowskiego</w:t>
      </w:r>
      <w:r w:rsidR="00ED4296" w:rsidRPr="00187A8A">
        <w:rPr>
          <w:rFonts w:ascii="Century Gothic" w:hAnsi="Century Gothic"/>
          <w:sz w:val="20"/>
          <w:szCs w:val="20"/>
        </w:rPr>
        <w:t xml:space="preserve">, Wicemarszałka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671F4A19" w14:textId="5AC6583E" w:rsidR="00ED4296" w:rsidRPr="00187A8A" w:rsidRDefault="00ED4296" w:rsidP="001573EF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na podstawie upoważnienia</w:t>
      </w:r>
      <w:r w:rsidR="000A1F57">
        <w:rPr>
          <w:rFonts w:ascii="Century Gothic" w:hAnsi="Century Gothic"/>
          <w:sz w:val="20"/>
          <w:szCs w:val="20"/>
        </w:rPr>
        <w:t xml:space="preserve"> udzielonego w </w:t>
      </w:r>
      <w:bookmarkStart w:id="0" w:name="_Hlk189723987"/>
      <w:r w:rsidR="008215CF">
        <w:rPr>
          <w:rFonts w:ascii="Century Gothic" w:hAnsi="Century Gothic"/>
          <w:sz w:val="20"/>
          <w:szCs w:val="20"/>
        </w:rPr>
        <w:t xml:space="preserve">Uchwale Nr 1503/22 Zarządu Województwa Małopolskiego z dnia 6 września 2022 r. w sprawie przyjęcia Kontraktu Programowego dla Województwa Małopolskiego oraz udzielenia upoważnienia do zawarcia Kontraktu Programowego w imieniu Zarządu Województwa, zmienionej </w:t>
      </w:r>
      <w:r w:rsidR="000A1F57">
        <w:rPr>
          <w:rFonts w:ascii="Century Gothic" w:hAnsi="Century Gothic"/>
          <w:sz w:val="20"/>
          <w:szCs w:val="20"/>
        </w:rPr>
        <w:t>Uchwa</w:t>
      </w:r>
      <w:r w:rsidR="008215CF">
        <w:rPr>
          <w:rFonts w:ascii="Century Gothic" w:hAnsi="Century Gothic"/>
          <w:sz w:val="20"/>
          <w:szCs w:val="20"/>
        </w:rPr>
        <w:t>łą</w:t>
      </w:r>
      <w:r w:rsidR="000A1F57">
        <w:rPr>
          <w:rFonts w:ascii="Century Gothic" w:hAnsi="Century Gothic"/>
          <w:sz w:val="20"/>
          <w:szCs w:val="20"/>
        </w:rPr>
        <w:t xml:space="preserve"> Nr 1661/24 Zarządu Województwa Małopolskiego z dnia 6 sierpnia 2024 r. w sprawie zmiany Uchwały Nr 2198/22 </w:t>
      </w:r>
      <w:r w:rsidR="0059419D">
        <w:rPr>
          <w:rFonts w:ascii="Century Gothic" w:hAnsi="Century Gothic"/>
          <w:sz w:val="20"/>
          <w:szCs w:val="20"/>
        </w:rPr>
        <w:br/>
      </w:r>
      <w:r w:rsidR="000A1F57">
        <w:rPr>
          <w:rFonts w:ascii="Century Gothic" w:hAnsi="Century Gothic"/>
          <w:sz w:val="20"/>
          <w:szCs w:val="20"/>
        </w:rPr>
        <w:t>z dnia 20 grudnia 2022 r. w sprawie wyznaczenia przedstawicieli Instytucji Zarządzającej programem regionalnym Fundusze Europejskie dla Małopolski 2021-2027 do składu Komitetu do spraw Umowy Partnerstwa na lata 2021-2027 oraz zmiany niektórych innych uchwał</w:t>
      </w:r>
      <w:bookmarkEnd w:id="0"/>
      <w:r w:rsidRPr="00187A8A">
        <w:rPr>
          <w:rFonts w:ascii="Century Gothic" w:hAnsi="Century Gothic"/>
          <w:sz w:val="20"/>
          <w:szCs w:val="20"/>
        </w:rPr>
        <w:t>,</w:t>
      </w:r>
      <w:r w:rsidR="00ED6DD3">
        <w:rPr>
          <w:rFonts w:ascii="Century Gothic" w:hAnsi="Century Gothic"/>
          <w:sz w:val="20"/>
          <w:szCs w:val="20"/>
        </w:rPr>
        <w:t xml:space="preserve"> stanowiące</w:t>
      </w:r>
      <w:r w:rsidR="000A1F57">
        <w:rPr>
          <w:rFonts w:ascii="Century Gothic" w:hAnsi="Century Gothic"/>
          <w:sz w:val="20"/>
          <w:szCs w:val="20"/>
        </w:rPr>
        <w:t>j</w:t>
      </w:r>
      <w:r w:rsidR="00ED6DD3">
        <w:rPr>
          <w:rFonts w:ascii="Century Gothic" w:hAnsi="Century Gothic"/>
          <w:sz w:val="20"/>
          <w:szCs w:val="20"/>
        </w:rPr>
        <w:t xml:space="preserve"> załącznik nr 2 do Aneksu,</w:t>
      </w:r>
    </w:p>
    <w:p w14:paraId="366A9200" w14:textId="13963A06" w:rsidR="00ED4296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zwan</w:t>
      </w:r>
      <w:r w:rsidR="003B45DE">
        <w:rPr>
          <w:rFonts w:ascii="Century Gothic" w:hAnsi="Century Gothic"/>
          <w:sz w:val="20"/>
          <w:szCs w:val="20"/>
        </w:rPr>
        <w:t>ymi</w:t>
      </w:r>
      <w:r w:rsidRPr="00187A8A">
        <w:rPr>
          <w:rFonts w:ascii="Century Gothic" w:hAnsi="Century Gothic"/>
          <w:sz w:val="20"/>
          <w:szCs w:val="20"/>
        </w:rPr>
        <w:t xml:space="preserve"> łącznie dalej „Stronami”.</w:t>
      </w:r>
    </w:p>
    <w:p w14:paraId="316FD993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AFAB27F" w14:textId="36A28CBD" w:rsidR="00ED4296" w:rsidRPr="009A5A69" w:rsidRDefault="00ED4296" w:rsidP="009A5A69">
      <w:pPr>
        <w:pStyle w:val="Nagwek2"/>
      </w:pPr>
      <w:r w:rsidRPr="009A5A69">
        <w:t>Art. 1</w:t>
      </w:r>
    </w:p>
    <w:p w14:paraId="5BC80528" w14:textId="75C34E5F" w:rsidR="00F01800" w:rsidRDefault="00ED4296" w:rsidP="003A4F2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Działając na podstawie art. 14ra ust. </w:t>
      </w:r>
      <w:r w:rsidR="000A0F77">
        <w:rPr>
          <w:rFonts w:ascii="Century Gothic" w:hAnsi="Century Gothic"/>
          <w:sz w:val="20"/>
          <w:szCs w:val="20"/>
        </w:rPr>
        <w:t>2-</w:t>
      </w:r>
      <w:r w:rsidRPr="00187A8A">
        <w:rPr>
          <w:rFonts w:ascii="Century Gothic" w:hAnsi="Century Gothic"/>
          <w:sz w:val="20"/>
          <w:szCs w:val="20"/>
        </w:rPr>
        <w:t>4 ustawy z dnia 6 grudnia 2006 r. o zasadach prowadzenia polityki rozwoju (Dz. U. z 202</w:t>
      </w:r>
      <w:r w:rsidR="00B60440">
        <w:rPr>
          <w:rFonts w:ascii="Century Gothic" w:hAnsi="Century Gothic"/>
          <w:sz w:val="20"/>
          <w:szCs w:val="20"/>
        </w:rPr>
        <w:t>5</w:t>
      </w:r>
      <w:r w:rsidRPr="00187A8A">
        <w:rPr>
          <w:rFonts w:ascii="Century Gothic" w:hAnsi="Century Gothic"/>
          <w:sz w:val="20"/>
          <w:szCs w:val="20"/>
        </w:rPr>
        <w:t xml:space="preserve"> r. poz. </w:t>
      </w:r>
      <w:r w:rsidR="00B60440">
        <w:rPr>
          <w:rFonts w:ascii="Century Gothic" w:hAnsi="Century Gothic"/>
          <w:sz w:val="20"/>
          <w:szCs w:val="20"/>
        </w:rPr>
        <w:t>198</w:t>
      </w:r>
      <w:r w:rsidRPr="00187A8A">
        <w:rPr>
          <w:rFonts w:ascii="Century Gothic" w:hAnsi="Century Gothic"/>
          <w:sz w:val="20"/>
          <w:szCs w:val="20"/>
        </w:rPr>
        <w:t>)</w:t>
      </w:r>
      <w:r w:rsidR="000D45D2">
        <w:rPr>
          <w:rFonts w:ascii="Century Gothic" w:hAnsi="Century Gothic"/>
          <w:sz w:val="20"/>
          <w:szCs w:val="20"/>
        </w:rPr>
        <w:t xml:space="preserve">, w związku z art. 24 </w:t>
      </w:r>
      <w:r w:rsidR="00F01800">
        <w:rPr>
          <w:rFonts w:ascii="Century Gothic" w:hAnsi="Century Gothic"/>
          <w:sz w:val="20"/>
          <w:szCs w:val="20"/>
        </w:rPr>
        <w:t xml:space="preserve">ust. 1 pkt 1 oraz </w:t>
      </w:r>
      <w:r w:rsidR="000D45D2">
        <w:rPr>
          <w:rFonts w:ascii="Century Gothic" w:hAnsi="Century Gothic"/>
          <w:sz w:val="20"/>
          <w:szCs w:val="20"/>
        </w:rPr>
        <w:t xml:space="preserve">ust. 4 Kontraktu Programowego dla Województwa </w:t>
      </w:r>
      <w:r w:rsidR="00EF1367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 xml:space="preserve">, Strony postanawiają, </w:t>
      </w:r>
      <w:r w:rsidR="00CA3F0A">
        <w:rPr>
          <w:rFonts w:ascii="Century Gothic" w:hAnsi="Century Gothic"/>
          <w:sz w:val="20"/>
          <w:szCs w:val="20"/>
        </w:rPr>
        <w:br/>
      </w:r>
      <w:r w:rsidR="00F01800">
        <w:rPr>
          <w:rFonts w:ascii="Century Gothic" w:hAnsi="Century Gothic"/>
          <w:sz w:val="20"/>
          <w:szCs w:val="20"/>
        </w:rPr>
        <w:t>co następuje.</w:t>
      </w:r>
    </w:p>
    <w:p w14:paraId="74E8066F" w14:textId="577BCCE2" w:rsidR="00F01800" w:rsidRDefault="00F01800" w:rsidP="003A4F2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W Kontrakcie </w:t>
      </w:r>
      <w:r w:rsidR="00ED6DD3">
        <w:rPr>
          <w:rFonts w:ascii="Century Gothic" w:hAnsi="Century Gothic"/>
          <w:sz w:val="20"/>
          <w:szCs w:val="20"/>
        </w:rPr>
        <w:t>Programow</w:t>
      </w:r>
      <w:r>
        <w:rPr>
          <w:rFonts w:ascii="Century Gothic" w:hAnsi="Century Gothic"/>
          <w:sz w:val="20"/>
          <w:szCs w:val="20"/>
        </w:rPr>
        <w:t>ym</w:t>
      </w:r>
      <w:r w:rsidR="00ED6DD3">
        <w:rPr>
          <w:rFonts w:ascii="Century Gothic" w:hAnsi="Century Gothic"/>
          <w:sz w:val="20"/>
          <w:szCs w:val="20"/>
        </w:rPr>
        <w:t xml:space="preserve"> dla Województwa Małopolskiego</w:t>
      </w:r>
      <w:r w:rsidR="00ED4296" w:rsidRPr="00187A8A">
        <w:rPr>
          <w:rFonts w:ascii="Century Gothic" w:hAnsi="Century Gothic"/>
          <w:sz w:val="20"/>
          <w:szCs w:val="20"/>
        </w:rPr>
        <w:t>, zawart</w:t>
      </w:r>
      <w:r>
        <w:rPr>
          <w:rFonts w:ascii="Century Gothic" w:hAnsi="Century Gothic"/>
          <w:sz w:val="20"/>
          <w:szCs w:val="20"/>
        </w:rPr>
        <w:t>ym</w:t>
      </w:r>
      <w:r w:rsidR="00ED4296" w:rsidRPr="00187A8A">
        <w:rPr>
          <w:rFonts w:ascii="Century Gothic" w:hAnsi="Century Gothic"/>
          <w:sz w:val="20"/>
          <w:szCs w:val="20"/>
        </w:rPr>
        <w:t xml:space="preserve"> w dniu </w:t>
      </w:r>
      <w:r w:rsidR="00CA3F0A">
        <w:rPr>
          <w:rFonts w:ascii="Century Gothic" w:hAnsi="Century Gothic"/>
          <w:sz w:val="20"/>
          <w:szCs w:val="20"/>
        </w:rPr>
        <w:br/>
      </w:r>
      <w:r w:rsidR="00A74E03">
        <w:rPr>
          <w:rFonts w:ascii="Century Gothic" w:hAnsi="Century Gothic"/>
          <w:sz w:val="20"/>
          <w:szCs w:val="20"/>
        </w:rPr>
        <w:t>4</w:t>
      </w:r>
      <w:r w:rsidR="00320350">
        <w:rPr>
          <w:rFonts w:ascii="Century Gothic" w:hAnsi="Century Gothic"/>
          <w:sz w:val="20"/>
          <w:szCs w:val="20"/>
        </w:rPr>
        <w:t xml:space="preserve"> </w:t>
      </w:r>
      <w:r w:rsidR="00A74E03">
        <w:rPr>
          <w:rFonts w:ascii="Century Gothic" w:hAnsi="Century Gothic"/>
          <w:sz w:val="20"/>
          <w:szCs w:val="20"/>
        </w:rPr>
        <w:t xml:space="preserve">października </w:t>
      </w:r>
      <w:r w:rsidR="00320350">
        <w:rPr>
          <w:rFonts w:ascii="Century Gothic" w:hAnsi="Century Gothic"/>
          <w:sz w:val="20"/>
          <w:szCs w:val="20"/>
        </w:rPr>
        <w:t>2022 r.</w:t>
      </w:r>
      <w:r w:rsidR="00ED4296" w:rsidRPr="00187A8A">
        <w:rPr>
          <w:rFonts w:ascii="Century Gothic" w:hAnsi="Century Gothic"/>
          <w:sz w:val="20"/>
          <w:szCs w:val="20"/>
        </w:rPr>
        <w:t xml:space="preserve">, </w:t>
      </w:r>
      <w:r w:rsidR="00223705">
        <w:rPr>
          <w:rFonts w:ascii="Century Gothic" w:hAnsi="Century Gothic"/>
          <w:sz w:val="20"/>
          <w:szCs w:val="20"/>
        </w:rPr>
        <w:t>zmienion</w:t>
      </w:r>
      <w:r>
        <w:rPr>
          <w:rFonts w:ascii="Century Gothic" w:hAnsi="Century Gothic"/>
          <w:sz w:val="20"/>
          <w:szCs w:val="20"/>
        </w:rPr>
        <w:t>ym</w:t>
      </w:r>
      <w:r w:rsidR="00223705">
        <w:rPr>
          <w:rFonts w:ascii="Century Gothic" w:hAnsi="Century Gothic"/>
          <w:sz w:val="20"/>
          <w:szCs w:val="20"/>
        </w:rPr>
        <w:t xml:space="preserve"> </w:t>
      </w:r>
      <w:r w:rsidR="00F40E60">
        <w:rPr>
          <w:rFonts w:ascii="Century Gothic" w:hAnsi="Century Gothic"/>
          <w:sz w:val="20"/>
          <w:szCs w:val="20"/>
        </w:rPr>
        <w:t>Aneksem nr 1 z dnia 1</w:t>
      </w:r>
      <w:r w:rsidR="00A74E03">
        <w:rPr>
          <w:rFonts w:ascii="Century Gothic" w:hAnsi="Century Gothic"/>
          <w:sz w:val="20"/>
          <w:szCs w:val="20"/>
        </w:rPr>
        <w:t>3 czerwca</w:t>
      </w:r>
      <w:r w:rsidR="00F40E60">
        <w:rPr>
          <w:rFonts w:ascii="Century Gothic" w:hAnsi="Century Gothic"/>
          <w:sz w:val="20"/>
          <w:szCs w:val="20"/>
        </w:rPr>
        <w:t xml:space="preserve"> 2023 r.</w:t>
      </w:r>
      <w:r w:rsidR="00B60440">
        <w:rPr>
          <w:rFonts w:ascii="Century Gothic" w:hAnsi="Century Gothic"/>
          <w:sz w:val="20"/>
          <w:szCs w:val="20"/>
        </w:rPr>
        <w:t>,</w:t>
      </w:r>
      <w:r w:rsidR="00140CAC">
        <w:rPr>
          <w:rFonts w:ascii="Century Gothic" w:hAnsi="Century Gothic"/>
          <w:sz w:val="20"/>
          <w:szCs w:val="20"/>
        </w:rPr>
        <w:t xml:space="preserve"> Aneksem nr 2 z dnia 20 grudnia 2023 r.</w:t>
      </w:r>
      <w:r>
        <w:rPr>
          <w:rFonts w:ascii="Century Gothic" w:hAnsi="Century Gothic"/>
          <w:sz w:val="20"/>
          <w:szCs w:val="20"/>
        </w:rPr>
        <w:t>,</w:t>
      </w:r>
      <w:r w:rsidR="00B60440">
        <w:rPr>
          <w:rFonts w:ascii="Century Gothic" w:hAnsi="Century Gothic"/>
          <w:sz w:val="20"/>
          <w:szCs w:val="20"/>
        </w:rPr>
        <w:t xml:space="preserve"> Aneksem nr 3 z dnia 17 lutego 2025 r.</w:t>
      </w:r>
      <w:r>
        <w:rPr>
          <w:rFonts w:ascii="Century Gothic" w:hAnsi="Century Gothic"/>
          <w:sz w:val="20"/>
          <w:szCs w:val="20"/>
        </w:rPr>
        <w:t xml:space="preserve"> oraz Aneksem nr 4 z dnia 30 lipca </w:t>
      </w:r>
      <w:r w:rsidR="00CA3F0A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2025 r.</w:t>
      </w:r>
      <w:r w:rsidR="00ED6DD3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wprowadza się następujące zmiany:</w:t>
      </w:r>
    </w:p>
    <w:p w14:paraId="6C7A3221" w14:textId="08451394" w:rsidR="00F01800" w:rsidRDefault="00F01800" w:rsidP="003A4F26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preambule, w wykazie właściwych przepisów wspólnotowych dotyczących polityki spójności na lata 2021-2027 i krajowych, pkt 11 otrzymuje brzmienie:</w:t>
      </w:r>
    </w:p>
    <w:p w14:paraId="08AAE90A" w14:textId="4327581C" w:rsidR="00F01800" w:rsidRDefault="00F01800" w:rsidP="003A4F26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„11. Ustawy z dnia 20 marca 2025 r. o rynku pracy i służbach zatrudnienia (Dz. U. z 2025 r. poz. 620), zwanej dalej „ustawą o rynku  pracy i służbach zatrudnienia”,”;</w:t>
      </w:r>
    </w:p>
    <w:p w14:paraId="12CE1DBE" w14:textId="4F70C698" w:rsidR="00F01800" w:rsidRDefault="00F01800" w:rsidP="003A4F26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art. 5 ust. 10 otrzymuje brzmienie:</w:t>
      </w:r>
    </w:p>
    <w:p w14:paraId="347F8ED6" w14:textId="345933C4" w:rsidR="00F01800" w:rsidRPr="00F01800" w:rsidRDefault="00F01800" w:rsidP="003A4F26">
      <w:pPr>
        <w:spacing w:before="120" w:after="120" w:line="36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„</w:t>
      </w:r>
      <w:r w:rsidRPr="005C5317">
        <w:rPr>
          <w:rFonts w:ascii="Century Gothic" w:hAnsi="Century Gothic"/>
          <w:sz w:val="20"/>
          <w:szCs w:val="20"/>
        </w:rPr>
        <w:t xml:space="preserve">10. Kwota, o której mowa w ust. 9, określona przez ministra właściwego do spraw pracy </w:t>
      </w:r>
      <w:r w:rsidR="00CA3F0A">
        <w:rPr>
          <w:rFonts w:ascii="Century Gothic" w:hAnsi="Century Gothic"/>
          <w:sz w:val="20"/>
          <w:szCs w:val="20"/>
        </w:rPr>
        <w:br/>
      </w:r>
      <w:r w:rsidRPr="005C5317">
        <w:rPr>
          <w:rFonts w:ascii="Century Gothic" w:hAnsi="Century Gothic"/>
          <w:sz w:val="20"/>
          <w:szCs w:val="20"/>
        </w:rPr>
        <w:t xml:space="preserve">w decyzjach limitowych Funduszu Pracy, przeznaczona jest na finansowanie projektów współfinansowanych z EFS+ w rozumieniu ustawy o rynku pracy i służbach zatrudnienia </w:t>
      </w:r>
      <w:r w:rsidR="00CA3F0A">
        <w:rPr>
          <w:rFonts w:ascii="Century Gothic" w:hAnsi="Century Gothic"/>
          <w:sz w:val="20"/>
          <w:szCs w:val="20"/>
        </w:rPr>
        <w:br/>
      </w:r>
      <w:r w:rsidRPr="005C5317">
        <w:rPr>
          <w:rFonts w:ascii="Century Gothic" w:hAnsi="Century Gothic"/>
          <w:sz w:val="20"/>
          <w:szCs w:val="20"/>
        </w:rPr>
        <w:t>oraz stosownych wytycznych ministra właściwego do spraw rozwoju regionalnego. Projekty realizowane są w ramach wyodrębnionego działania w priorytecie w Programie Regionalnym.”;</w:t>
      </w:r>
    </w:p>
    <w:p w14:paraId="48219AFF" w14:textId="4DEF98EA" w:rsidR="00F01800" w:rsidRDefault="006F77C2" w:rsidP="003A4F26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art. 6 ust. 4 otrzymuje brzmienie:</w:t>
      </w:r>
    </w:p>
    <w:p w14:paraId="7BCA38B9" w14:textId="1612AE91" w:rsidR="006F77C2" w:rsidRDefault="006F77C2" w:rsidP="003A4F26">
      <w:pPr>
        <w:spacing w:before="120" w:after="120" w:line="36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„4. Strona samorządowa zobowiązuje się do zapewnienia realizacji projektów powiatowych urzędów pracy finansowanych ze środków Funduszu Pracy, o których mowa w art. 5 ust. 9 i 10, wyłącznie na zasadach określonych w ustawie o rynku pracy i służbach zatrudnienia.”;</w:t>
      </w:r>
    </w:p>
    <w:p w14:paraId="65BFAC18" w14:textId="28161890" w:rsidR="00CA3F0A" w:rsidRDefault="00CA3F0A" w:rsidP="00CA3F0A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art. 7 w ust. 3 przypis 8 otrzymuje brzmienie:</w:t>
      </w:r>
    </w:p>
    <w:p w14:paraId="72B90601" w14:textId="5D23BE05" w:rsidR="00CA3F0A" w:rsidRPr="00CA3F0A" w:rsidRDefault="00CA3F0A" w:rsidP="00CA3F0A">
      <w:pPr>
        <w:spacing w:before="120" w:after="120" w:line="36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CA3F0A">
        <w:rPr>
          <w:rFonts w:ascii="Century Gothic" w:hAnsi="Century Gothic"/>
          <w:sz w:val="20"/>
          <w:szCs w:val="20"/>
        </w:rPr>
        <w:t>„</w:t>
      </w:r>
      <w:r w:rsidRPr="00CA3F0A">
        <w:rPr>
          <w:rFonts w:ascii="Century Gothic" w:hAnsi="Century Gothic"/>
          <w:sz w:val="20"/>
          <w:szCs w:val="20"/>
          <w:vertAlign w:val="superscript"/>
        </w:rPr>
        <w:t>8</w:t>
      </w:r>
      <w:r w:rsidRPr="00CA3F0A">
        <w:rPr>
          <w:rFonts w:ascii="Century Gothic" w:hAnsi="Century Gothic"/>
          <w:sz w:val="20"/>
          <w:szCs w:val="20"/>
        </w:rPr>
        <w:t xml:space="preserve"> „Linia demarkacyjna. Podział interwencji i zasad wdrażania programów krajowych </w:t>
      </w:r>
      <w:r>
        <w:rPr>
          <w:rFonts w:ascii="Century Gothic" w:hAnsi="Century Gothic"/>
          <w:sz w:val="20"/>
          <w:szCs w:val="20"/>
        </w:rPr>
        <w:br/>
      </w:r>
      <w:r w:rsidRPr="00CA3F0A">
        <w:rPr>
          <w:rFonts w:ascii="Century Gothic" w:hAnsi="Century Gothic"/>
          <w:sz w:val="20"/>
          <w:szCs w:val="20"/>
        </w:rPr>
        <w:t>i regionalnych w perspektywie finansowej na lata 2021-2027”, zatwierdzona przez ministra właściwego do spraw rozwoju regionalnego w dniu 23 lutego 2025 r.”</w:t>
      </w:r>
      <w:r>
        <w:rPr>
          <w:rFonts w:ascii="Century Gothic" w:hAnsi="Century Gothic"/>
          <w:sz w:val="20"/>
          <w:szCs w:val="20"/>
        </w:rPr>
        <w:t>;</w:t>
      </w:r>
    </w:p>
    <w:p w14:paraId="65A9BF8C" w14:textId="54C1AC63" w:rsidR="006F77C2" w:rsidRDefault="006F77C2" w:rsidP="003A4F26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art. 8 uchyla się ust. 3;</w:t>
      </w:r>
    </w:p>
    <w:p w14:paraId="574AEE9D" w14:textId="7E605AB0" w:rsidR="00B06E83" w:rsidRDefault="006F77C2" w:rsidP="003A4F26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art. 20</w:t>
      </w:r>
      <w:r w:rsidR="00B06E83">
        <w:rPr>
          <w:rFonts w:ascii="Century Gothic" w:hAnsi="Century Gothic"/>
          <w:sz w:val="20"/>
          <w:szCs w:val="20"/>
        </w:rPr>
        <w:t>:</w:t>
      </w:r>
    </w:p>
    <w:p w14:paraId="24FF40C9" w14:textId="41C8A09C" w:rsidR="006F77C2" w:rsidRDefault="006F77C2" w:rsidP="00B06E83">
      <w:pPr>
        <w:pStyle w:val="Akapitzlist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ust. 3 skreśla się zdanie trzecie</w:t>
      </w:r>
      <w:r w:rsidR="00B06E83">
        <w:rPr>
          <w:rFonts w:ascii="Century Gothic" w:hAnsi="Century Gothic"/>
          <w:sz w:val="20"/>
          <w:szCs w:val="20"/>
        </w:rPr>
        <w:t>,</w:t>
      </w:r>
    </w:p>
    <w:p w14:paraId="48C65245" w14:textId="05EA08CD" w:rsidR="00B06E83" w:rsidRDefault="00B06E83" w:rsidP="00B06E83">
      <w:pPr>
        <w:pStyle w:val="Akapitzlist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uchyla się ust. 6;</w:t>
      </w:r>
    </w:p>
    <w:p w14:paraId="65BE7718" w14:textId="62E74EB2" w:rsidR="00C03324" w:rsidRDefault="0028152C" w:rsidP="00B06E83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art. 29</w:t>
      </w:r>
      <w:r w:rsidR="00C03324">
        <w:rPr>
          <w:rFonts w:ascii="Century Gothic" w:hAnsi="Century Gothic"/>
          <w:sz w:val="20"/>
          <w:szCs w:val="20"/>
        </w:rPr>
        <w:t>:</w:t>
      </w:r>
    </w:p>
    <w:p w14:paraId="498B1BC1" w14:textId="49BBDCB6" w:rsidR="006F77C2" w:rsidRDefault="0028152C" w:rsidP="003A4F26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 ust. 1 uchyla się </w:t>
      </w:r>
      <w:r w:rsidR="00CA3F0A">
        <w:rPr>
          <w:rFonts w:ascii="Century Gothic" w:hAnsi="Century Gothic"/>
          <w:sz w:val="20"/>
          <w:szCs w:val="20"/>
        </w:rPr>
        <w:t>pkt</w:t>
      </w:r>
      <w:r>
        <w:rPr>
          <w:rFonts w:ascii="Century Gothic" w:hAnsi="Century Gothic"/>
          <w:sz w:val="20"/>
          <w:szCs w:val="20"/>
        </w:rPr>
        <w:t xml:space="preserve"> 7 i </w:t>
      </w:r>
      <w:r w:rsidR="00CA3F0A">
        <w:rPr>
          <w:rFonts w:ascii="Century Gothic" w:hAnsi="Century Gothic"/>
          <w:sz w:val="20"/>
          <w:szCs w:val="20"/>
        </w:rPr>
        <w:t xml:space="preserve">pkt </w:t>
      </w:r>
      <w:r>
        <w:rPr>
          <w:rFonts w:ascii="Century Gothic" w:hAnsi="Century Gothic"/>
          <w:sz w:val="20"/>
          <w:szCs w:val="20"/>
        </w:rPr>
        <w:t>34</w:t>
      </w:r>
      <w:r w:rsidR="00B06E83">
        <w:rPr>
          <w:rFonts w:ascii="Century Gothic" w:hAnsi="Century Gothic"/>
          <w:sz w:val="20"/>
          <w:szCs w:val="20"/>
        </w:rPr>
        <w:t>,</w:t>
      </w:r>
    </w:p>
    <w:p w14:paraId="6C40DD08" w14:textId="633626FA" w:rsidR="00C03324" w:rsidRPr="006F77C2" w:rsidRDefault="00C03324" w:rsidP="003A4F26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 ust. 3 </w:t>
      </w:r>
      <w:r w:rsidR="00CA3F0A">
        <w:rPr>
          <w:rFonts w:ascii="Century Gothic" w:hAnsi="Century Gothic"/>
          <w:sz w:val="20"/>
          <w:szCs w:val="20"/>
        </w:rPr>
        <w:t>skreśla</w:t>
      </w:r>
      <w:r>
        <w:rPr>
          <w:rFonts w:ascii="Century Gothic" w:hAnsi="Century Gothic"/>
          <w:sz w:val="20"/>
          <w:szCs w:val="20"/>
        </w:rPr>
        <w:t xml:space="preserve"> się wyrazy „oraz 34 i 35”</w:t>
      </w:r>
      <w:r w:rsidR="003A4F26">
        <w:rPr>
          <w:rFonts w:ascii="Century Gothic" w:hAnsi="Century Gothic"/>
          <w:sz w:val="20"/>
          <w:szCs w:val="20"/>
        </w:rPr>
        <w:t>;</w:t>
      </w:r>
    </w:p>
    <w:p w14:paraId="36CCE580" w14:textId="53BE23B6" w:rsidR="0059419D" w:rsidRDefault="00BE17D9" w:rsidP="00140CAC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BE17D9">
        <w:rPr>
          <w:rFonts w:ascii="Century Gothic" w:hAnsi="Century Gothic"/>
          <w:sz w:val="20"/>
          <w:szCs w:val="20"/>
        </w:rPr>
        <w:t xml:space="preserve">załącznik nr 10 do Kontraktu Programowego dla Województwa </w:t>
      </w:r>
      <w:r w:rsidR="00850990">
        <w:rPr>
          <w:rFonts w:ascii="Century Gothic" w:hAnsi="Century Gothic"/>
          <w:sz w:val="20"/>
          <w:szCs w:val="20"/>
        </w:rPr>
        <w:t>Małopolskiego</w:t>
      </w:r>
      <w:r w:rsidRPr="00BE17D9">
        <w:rPr>
          <w:rFonts w:ascii="Century Gothic" w:hAnsi="Century Gothic"/>
          <w:sz w:val="20"/>
          <w:szCs w:val="20"/>
        </w:rPr>
        <w:t xml:space="preserve"> otrzymuje brzmienie określone w załączniku nr 3 do Aneksu</w:t>
      </w:r>
      <w:r w:rsidR="00CA3F0A">
        <w:rPr>
          <w:rFonts w:ascii="Century Gothic" w:hAnsi="Century Gothic"/>
          <w:sz w:val="20"/>
          <w:szCs w:val="20"/>
        </w:rPr>
        <w:t>.</w:t>
      </w:r>
    </w:p>
    <w:p w14:paraId="09057E38" w14:textId="4C79DC37" w:rsidR="00ED4296" w:rsidRPr="009A5A69" w:rsidRDefault="00ED4296" w:rsidP="009A5A69">
      <w:pPr>
        <w:pStyle w:val="Nagwek2"/>
      </w:pPr>
      <w:r w:rsidRPr="009A5A69">
        <w:lastRenderedPageBreak/>
        <w:t>Art. 2</w:t>
      </w:r>
    </w:p>
    <w:p w14:paraId="30041F17" w14:textId="6D8D40E8" w:rsidR="00ED6DD3" w:rsidRDefault="00ED6DD3" w:rsidP="00ED6DD3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Pozostałe postanowienia Kontraktu Programowego dla Województwa </w:t>
      </w:r>
      <w:r>
        <w:rPr>
          <w:rFonts w:ascii="Century Gothic" w:hAnsi="Century Gothic"/>
          <w:sz w:val="20"/>
          <w:szCs w:val="20"/>
        </w:rPr>
        <w:t xml:space="preserve">Małopolskiego </w:t>
      </w:r>
      <w:r w:rsidRPr="00187A8A">
        <w:rPr>
          <w:rFonts w:ascii="Century Gothic" w:hAnsi="Century Gothic"/>
          <w:sz w:val="20"/>
          <w:szCs w:val="20"/>
        </w:rPr>
        <w:t>nie ulegają zmianie.</w:t>
      </w:r>
    </w:p>
    <w:p w14:paraId="5EFFE337" w14:textId="77777777" w:rsidR="0059419D" w:rsidRDefault="0059419D" w:rsidP="00ED6DD3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</w:p>
    <w:p w14:paraId="60679613" w14:textId="6DD94710" w:rsidR="00B233B4" w:rsidRPr="009A5A69" w:rsidRDefault="00B233B4" w:rsidP="009A5A69">
      <w:pPr>
        <w:pStyle w:val="Nagwek2"/>
      </w:pPr>
      <w:r w:rsidRPr="009A5A69">
        <w:t>Art. 3</w:t>
      </w:r>
    </w:p>
    <w:p w14:paraId="7B9022B0" w14:textId="22FCA461" w:rsidR="00ED6DD3" w:rsidRDefault="00ED6DD3" w:rsidP="00ED6DD3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Aneks sporządzony został w czterech jednobrzmiących egzemplarzach, po dwa dla każdej </w:t>
      </w:r>
      <w:r>
        <w:rPr>
          <w:rFonts w:ascii="Century Gothic" w:hAnsi="Century Gothic"/>
          <w:sz w:val="20"/>
          <w:szCs w:val="20"/>
        </w:rPr>
        <w:br/>
      </w:r>
      <w:r w:rsidRPr="00187A8A">
        <w:rPr>
          <w:rFonts w:ascii="Century Gothic" w:hAnsi="Century Gothic"/>
          <w:sz w:val="20"/>
          <w:szCs w:val="20"/>
        </w:rPr>
        <w:t>ze Stron.</w:t>
      </w:r>
    </w:p>
    <w:p w14:paraId="513AD8A8" w14:textId="77777777" w:rsidR="0059419D" w:rsidRDefault="0059419D" w:rsidP="00ED6DD3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3C1C3AA8" w14:textId="1C9700CF" w:rsidR="00ED4296" w:rsidRPr="009A5A69" w:rsidRDefault="00ED4296" w:rsidP="009A5A69">
      <w:pPr>
        <w:pStyle w:val="Nagwek2"/>
      </w:pPr>
      <w:r w:rsidRPr="009A5A69">
        <w:t xml:space="preserve">Art. </w:t>
      </w:r>
      <w:r w:rsidR="00B233B4" w:rsidRPr="009A5A69">
        <w:t>4</w:t>
      </w:r>
    </w:p>
    <w:p w14:paraId="241E8F43" w14:textId="77777777" w:rsidR="00ED6DD3" w:rsidRDefault="00ED6DD3" w:rsidP="00ED6DD3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  <w:r w:rsidRPr="00790A2F">
        <w:rPr>
          <w:rFonts w:ascii="Century Gothic" w:hAnsi="Century Gothic"/>
          <w:sz w:val="20"/>
          <w:szCs w:val="20"/>
        </w:rPr>
        <w:t>Integralną część Aneksu stanowi</w:t>
      </w:r>
      <w:r>
        <w:rPr>
          <w:rFonts w:ascii="Century Gothic" w:hAnsi="Century Gothic"/>
          <w:sz w:val="20"/>
          <w:szCs w:val="20"/>
        </w:rPr>
        <w:t>ą załączniki:</w:t>
      </w:r>
    </w:p>
    <w:p w14:paraId="3149B8BD" w14:textId="22C08E4D" w:rsidR="00ED6DD3" w:rsidRDefault="00ED6DD3" w:rsidP="00ED6DD3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Pr="00140CAC">
        <w:rPr>
          <w:rFonts w:ascii="Century Gothic" w:hAnsi="Century Gothic"/>
          <w:sz w:val="20"/>
          <w:szCs w:val="20"/>
        </w:rPr>
        <w:t xml:space="preserve">ałącznik nr 1 – </w:t>
      </w:r>
      <w:r>
        <w:rPr>
          <w:rFonts w:ascii="Century Gothic" w:hAnsi="Century Gothic"/>
          <w:sz w:val="20"/>
          <w:szCs w:val="20"/>
        </w:rPr>
        <w:t xml:space="preserve">pełnomocnictwo nr </w:t>
      </w:r>
      <w:proofErr w:type="spellStart"/>
      <w:r>
        <w:rPr>
          <w:rFonts w:ascii="Century Gothic" w:hAnsi="Century Gothic"/>
          <w:sz w:val="20"/>
          <w:szCs w:val="20"/>
        </w:rPr>
        <w:t>MFiPR</w:t>
      </w:r>
      <w:proofErr w:type="spellEnd"/>
      <w:r>
        <w:rPr>
          <w:rFonts w:ascii="Century Gothic" w:hAnsi="Century Gothic"/>
          <w:sz w:val="20"/>
          <w:szCs w:val="20"/>
        </w:rPr>
        <w:t>/405-PM/24 z dnia 8 lipca 2024 r.</w:t>
      </w:r>
      <w:r w:rsidR="00854669">
        <w:rPr>
          <w:rFonts w:ascii="Century Gothic" w:hAnsi="Century Gothic"/>
          <w:sz w:val="20"/>
          <w:szCs w:val="20"/>
        </w:rPr>
        <w:t>;</w:t>
      </w:r>
    </w:p>
    <w:p w14:paraId="00DDE005" w14:textId="65669B8F" w:rsidR="00ED6DD3" w:rsidRPr="00ED6DD3" w:rsidRDefault="00ED6DD3" w:rsidP="00ED6DD3">
      <w:pPr>
        <w:pStyle w:val="Akapitzlist"/>
        <w:numPr>
          <w:ilvl w:val="0"/>
          <w:numId w:val="9"/>
        </w:numPr>
        <w:spacing w:before="120" w:after="120" w:line="360" w:lineRule="auto"/>
        <w:ind w:left="703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ED6DD3">
        <w:rPr>
          <w:rFonts w:ascii="Century Gothic" w:hAnsi="Century Gothic"/>
          <w:sz w:val="20"/>
          <w:szCs w:val="20"/>
        </w:rPr>
        <w:t xml:space="preserve">Załącznik nr 2 – </w:t>
      </w:r>
      <w:r w:rsidR="00854669">
        <w:rPr>
          <w:rFonts w:ascii="Century Gothic" w:hAnsi="Century Gothic"/>
          <w:sz w:val="20"/>
          <w:szCs w:val="20"/>
        </w:rPr>
        <w:t xml:space="preserve">Uchwała Nr 1503/22 Zarządu Województwa Małopolskiego z dnia </w:t>
      </w:r>
      <w:r w:rsidR="00854669">
        <w:rPr>
          <w:rFonts w:ascii="Century Gothic" w:hAnsi="Century Gothic"/>
          <w:sz w:val="20"/>
          <w:szCs w:val="20"/>
        </w:rPr>
        <w:br/>
        <w:t xml:space="preserve">6 września 2022 r. w sprawie przyjęcia Kontraktu Programowego dla Województwa Małopolskiego oraz udzielenia upoważnienia do zawarcia Kontraktu Programowego </w:t>
      </w:r>
      <w:r w:rsidR="00854669">
        <w:rPr>
          <w:rFonts w:ascii="Century Gothic" w:hAnsi="Century Gothic"/>
          <w:sz w:val="20"/>
          <w:szCs w:val="20"/>
        </w:rPr>
        <w:br/>
        <w:t xml:space="preserve">w imieniu Zarządu Województwa, zmieniona Uchwałą Nr 1661/24 Zarządu Województwa Małopolskiego z dnia 6 sierpnia 2024 r. w sprawie zmiany Uchwały </w:t>
      </w:r>
      <w:r w:rsidR="00854669">
        <w:rPr>
          <w:rFonts w:ascii="Century Gothic" w:hAnsi="Century Gothic"/>
          <w:sz w:val="20"/>
          <w:szCs w:val="20"/>
        </w:rPr>
        <w:br/>
        <w:t>Nr 2198/22 z dnia 20 grudnia 2022 r. w sprawie wyznaczenia przedstawicieli Instytucji Zarządzającej programem regionalnym Fundusze Europejskie dla Małopolski 2021-2027 do składu Komitetu do spraw Umowy Partnerstwa na lata 2021-2027 oraz zmiany niektórych innych uchwał;</w:t>
      </w:r>
    </w:p>
    <w:p w14:paraId="67D5D4C3" w14:textId="5E7CA2A8" w:rsidR="00ED6DD3" w:rsidRDefault="00ED6DD3" w:rsidP="00ED6DD3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3 – </w:t>
      </w:r>
      <w:r w:rsidR="00BE17D9">
        <w:rPr>
          <w:rFonts w:ascii="Century Gothic" w:hAnsi="Century Gothic"/>
          <w:sz w:val="20"/>
          <w:szCs w:val="20"/>
        </w:rPr>
        <w:t>Wykaz przedsięwzięć priorytetowych finansowanych w ramach Programu Regionalnego</w:t>
      </w:r>
      <w:r w:rsidRPr="00140CAC">
        <w:rPr>
          <w:rFonts w:ascii="Century Gothic" w:hAnsi="Century Gothic"/>
          <w:sz w:val="20"/>
          <w:szCs w:val="20"/>
        </w:rPr>
        <w:t>.</w:t>
      </w:r>
    </w:p>
    <w:p w14:paraId="7DCA5FF7" w14:textId="77777777" w:rsidR="0059419D" w:rsidRPr="0059419D" w:rsidRDefault="0059419D" w:rsidP="0059419D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E17037C" w14:textId="5CAD6161" w:rsidR="00B233B4" w:rsidRPr="009A5A69" w:rsidRDefault="00B233B4" w:rsidP="009A5A69">
      <w:pPr>
        <w:pStyle w:val="Nagwek2"/>
      </w:pPr>
      <w:r w:rsidRPr="009A5A69">
        <w:t>Art. 5</w:t>
      </w:r>
    </w:p>
    <w:p w14:paraId="43ED7ED8" w14:textId="77777777" w:rsidR="00B233B4" w:rsidRPr="00187A8A" w:rsidRDefault="00B233B4" w:rsidP="00B233B4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Aneks wchodzi w życie z dniem podpisania przez drugą Stronę.</w:t>
      </w:r>
    </w:p>
    <w:p w14:paraId="14326680" w14:textId="77777777" w:rsidR="00854669" w:rsidRDefault="0085466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br w:type="page"/>
      </w:r>
    </w:p>
    <w:p w14:paraId="2978CA2E" w14:textId="2C6AB1C4" w:rsidR="00ED4296" w:rsidRPr="00187A8A" w:rsidRDefault="00ED4296" w:rsidP="00ED4296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  <w:r w:rsidRPr="00187A8A">
        <w:rPr>
          <w:rFonts w:ascii="Century Gothic" w:hAnsi="Century Gothic" w:cstheme="minorHAnsi"/>
          <w:sz w:val="20"/>
          <w:szCs w:val="20"/>
        </w:rPr>
        <w:t>Minister:</w:t>
      </w:r>
      <w:r w:rsidRPr="00187A8A">
        <w:rPr>
          <w:rFonts w:ascii="Century Gothic" w:hAnsi="Century Gothic" w:cstheme="minorHAnsi"/>
          <w:sz w:val="20"/>
          <w:szCs w:val="20"/>
        </w:rPr>
        <w:tab/>
        <w:t>Marszałek Województwa</w:t>
      </w:r>
      <w:r w:rsidR="000A1F57">
        <w:rPr>
          <w:rFonts w:ascii="Century Gothic" w:hAnsi="Century Gothic" w:cstheme="minorHAnsi"/>
          <w:sz w:val="20"/>
          <w:szCs w:val="20"/>
        </w:rPr>
        <w:t xml:space="preserve"> Małopolskiego</w:t>
      </w:r>
      <w:r w:rsidRPr="00187A8A">
        <w:rPr>
          <w:rFonts w:ascii="Century Gothic" w:hAnsi="Century Gothic" w:cstheme="minorHAnsi"/>
          <w:sz w:val="20"/>
          <w:szCs w:val="20"/>
        </w:rPr>
        <w:t>:</w:t>
      </w:r>
    </w:p>
    <w:p w14:paraId="2406F5C9" w14:textId="77777777" w:rsidR="00332775" w:rsidRDefault="00332775" w:rsidP="00332775">
      <w:pPr>
        <w:tabs>
          <w:tab w:val="left" w:pos="5103"/>
        </w:tabs>
        <w:spacing w:before="240" w:after="1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(-) dr </w:t>
      </w:r>
      <w:proofErr w:type="spellStart"/>
      <w:r>
        <w:rPr>
          <w:rFonts w:ascii="Century Gothic" w:hAnsi="Century Gothic" w:cstheme="minorHAnsi"/>
          <w:sz w:val="20"/>
          <w:szCs w:val="20"/>
        </w:rPr>
        <w:t>inż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Jacek Karnowski </w:t>
      </w:r>
      <w:r>
        <w:rPr>
          <w:rFonts w:ascii="Century Gothic" w:hAnsi="Century Gothic" w:cstheme="minorHAnsi"/>
          <w:sz w:val="20"/>
          <w:szCs w:val="20"/>
        </w:rPr>
        <w:tab/>
        <w:t>(-) Łukasz Smółka</w:t>
      </w:r>
    </w:p>
    <w:p w14:paraId="0958D3FD" w14:textId="292478FE" w:rsidR="00332775" w:rsidRDefault="00332775" w:rsidP="00332775">
      <w:pPr>
        <w:tabs>
          <w:tab w:val="left" w:pos="5103"/>
        </w:tabs>
        <w:spacing w:before="240" w:after="1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Sekretarz Stanu</w:t>
      </w:r>
      <w:r>
        <w:rPr>
          <w:rFonts w:ascii="Century Gothic" w:hAnsi="Century Gothic" w:cstheme="minorHAnsi"/>
          <w:sz w:val="20"/>
          <w:szCs w:val="20"/>
        </w:rPr>
        <w:tab/>
        <w:t>Marszałek Województwa Małopolskiego</w:t>
      </w:r>
    </w:p>
    <w:p w14:paraId="1AB6D09A" w14:textId="08E23C31" w:rsidR="00ED4296" w:rsidRPr="00187A8A" w:rsidRDefault="000F5916" w:rsidP="00332775">
      <w:pPr>
        <w:tabs>
          <w:tab w:val="left" w:pos="5103"/>
        </w:tabs>
        <w:spacing w:before="240" w:after="1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16-12-2025</w:t>
      </w:r>
      <w:r w:rsidR="00332775">
        <w:rPr>
          <w:rFonts w:ascii="Century Gothic" w:hAnsi="Century Gothic" w:cstheme="minorHAnsi"/>
          <w:sz w:val="20"/>
          <w:szCs w:val="20"/>
        </w:rPr>
        <w:tab/>
      </w:r>
      <w:r w:rsidR="00E55965">
        <w:rPr>
          <w:rFonts w:ascii="Century Gothic" w:hAnsi="Century Gothic" w:cstheme="minorHAnsi"/>
          <w:sz w:val="20"/>
          <w:szCs w:val="20"/>
        </w:rPr>
        <w:t>23-12-2025</w:t>
      </w:r>
      <w:bookmarkStart w:id="1" w:name="_GoBack"/>
      <w:bookmarkEnd w:id="1"/>
      <w:r w:rsidR="00332775">
        <w:rPr>
          <w:rFonts w:ascii="Century Gothic" w:hAnsi="Century Gothic" w:cstheme="minorHAnsi"/>
          <w:sz w:val="20"/>
          <w:szCs w:val="20"/>
        </w:rPr>
        <w:br/>
      </w:r>
      <w:r w:rsidR="00ED4296" w:rsidRPr="00187A8A">
        <w:rPr>
          <w:rFonts w:ascii="Century Gothic" w:hAnsi="Century Gothic" w:cstheme="minorHAnsi"/>
          <w:sz w:val="20"/>
          <w:szCs w:val="20"/>
        </w:rPr>
        <w:t>_____________________</w:t>
      </w:r>
      <w:r w:rsidR="00ED4296" w:rsidRPr="00187A8A">
        <w:rPr>
          <w:rFonts w:ascii="Century Gothic" w:hAnsi="Century Gothic" w:cstheme="minorHAnsi"/>
          <w:sz w:val="20"/>
          <w:szCs w:val="20"/>
        </w:rPr>
        <w:tab/>
        <w:t>______________________</w:t>
      </w:r>
    </w:p>
    <w:p w14:paraId="726D5C24" w14:textId="36D314DC" w:rsidR="00ED4296" w:rsidRPr="00187A8A" w:rsidRDefault="00ED4296" w:rsidP="00ED4296">
      <w:pPr>
        <w:spacing w:before="240" w:after="120"/>
        <w:rPr>
          <w:rFonts w:ascii="Century Gothic" w:hAnsi="Century Gothic" w:cstheme="minorHAnsi"/>
          <w:sz w:val="20"/>
          <w:szCs w:val="20"/>
        </w:rPr>
      </w:pPr>
      <w:r w:rsidRPr="00187A8A">
        <w:rPr>
          <w:rFonts w:ascii="Century Gothic" w:hAnsi="Century Gothic" w:cstheme="minorHAnsi"/>
          <w:sz w:val="20"/>
          <w:szCs w:val="20"/>
        </w:rPr>
        <w:t xml:space="preserve">     </w:t>
      </w:r>
      <w:r w:rsidRPr="007F6650">
        <w:rPr>
          <w:rFonts w:ascii="Century Gothic" w:hAnsi="Century Gothic" w:cstheme="minorHAnsi"/>
          <w:sz w:val="18"/>
          <w:szCs w:val="18"/>
        </w:rPr>
        <w:t xml:space="preserve">   Data i podpis</w:t>
      </w:r>
      <w:r w:rsidRPr="007F6650">
        <w:rPr>
          <w:rFonts w:ascii="Century Gothic" w:hAnsi="Century Gothic" w:cstheme="minorHAnsi"/>
          <w:sz w:val="18"/>
          <w:szCs w:val="18"/>
        </w:rPr>
        <w:tab/>
      </w:r>
      <w:r w:rsidRPr="007F6650">
        <w:rPr>
          <w:rFonts w:ascii="Century Gothic" w:hAnsi="Century Gothic" w:cstheme="minorHAnsi"/>
          <w:sz w:val="18"/>
          <w:szCs w:val="18"/>
        </w:rPr>
        <w:tab/>
        <w:t xml:space="preserve">               </w:t>
      </w:r>
      <w:r w:rsidRPr="007F6650">
        <w:rPr>
          <w:rFonts w:ascii="Century Gothic" w:hAnsi="Century Gothic" w:cstheme="minorHAnsi"/>
          <w:sz w:val="18"/>
          <w:szCs w:val="18"/>
        </w:rPr>
        <w:tab/>
      </w:r>
      <w:r w:rsidRPr="007F6650">
        <w:rPr>
          <w:rFonts w:ascii="Century Gothic" w:hAnsi="Century Gothic" w:cstheme="minorHAnsi"/>
          <w:sz w:val="18"/>
          <w:szCs w:val="18"/>
        </w:rPr>
        <w:tab/>
      </w:r>
      <w:r w:rsidRPr="007F6650">
        <w:rPr>
          <w:rFonts w:ascii="Century Gothic" w:hAnsi="Century Gothic" w:cstheme="minorHAnsi"/>
          <w:sz w:val="18"/>
          <w:szCs w:val="18"/>
        </w:rPr>
        <w:tab/>
        <w:t xml:space="preserve">       </w:t>
      </w:r>
      <w:r w:rsidR="007F6650">
        <w:rPr>
          <w:rFonts w:ascii="Century Gothic" w:hAnsi="Century Gothic" w:cstheme="minorHAnsi"/>
          <w:sz w:val="18"/>
          <w:szCs w:val="18"/>
        </w:rPr>
        <w:t xml:space="preserve">    </w:t>
      </w:r>
      <w:r w:rsidRPr="007F6650">
        <w:rPr>
          <w:rFonts w:ascii="Century Gothic" w:hAnsi="Century Gothic" w:cstheme="minorHAnsi"/>
          <w:sz w:val="18"/>
          <w:szCs w:val="18"/>
        </w:rPr>
        <w:t>Data i podpis</w:t>
      </w:r>
    </w:p>
    <w:p w14:paraId="6874B3C2" w14:textId="5645B267" w:rsidR="00ED4296" w:rsidRDefault="00ED4296" w:rsidP="00ED4296">
      <w:pPr>
        <w:spacing w:before="240" w:after="120"/>
        <w:ind w:left="360"/>
        <w:jc w:val="center"/>
        <w:rPr>
          <w:rFonts w:ascii="Century Gothic" w:hAnsi="Century Gothic" w:cstheme="minorHAnsi"/>
          <w:sz w:val="20"/>
          <w:szCs w:val="20"/>
        </w:rPr>
      </w:pPr>
    </w:p>
    <w:p w14:paraId="6020FBDB" w14:textId="10444F59" w:rsidR="00ED4296" w:rsidRPr="00187A8A" w:rsidRDefault="00ED4296" w:rsidP="000A1F57">
      <w:pPr>
        <w:spacing w:before="120" w:after="120"/>
        <w:ind w:left="4956"/>
        <w:rPr>
          <w:rFonts w:ascii="Century Gothic" w:eastAsia="Arial Unicode MS" w:hAnsi="Century Gothic" w:cstheme="minorHAnsi"/>
          <w:sz w:val="20"/>
          <w:szCs w:val="20"/>
        </w:rPr>
      </w:pPr>
      <w:r w:rsidRPr="00187A8A">
        <w:rPr>
          <w:rFonts w:ascii="Century Gothic" w:hAnsi="Century Gothic" w:cstheme="minorHAnsi"/>
          <w:sz w:val="20"/>
          <w:szCs w:val="20"/>
        </w:rPr>
        <w:t xml:space="preserve">Wicemarszałek Województwa </w:t>
      </w:r>
      <w:r w:rsidR="000A1F57">
        <w:rPr>
          <w:rFonts w:ascii="Century Gothic" w:hAnsi="Century Gothic" w:cstheme="minorHAnsi"/>
          <w:sz w:val="20"/>
          <w:szCs w:val="20"/>
        </w:rPr>
        <w:t>Małopolskiego</w:t>
      </w:r>
      <w:r w:rsidRPr="00187A8A">
        <w:rPr>
          <w:rFonts w:ascii="Century Gothic" w:hAnsi="Century Gothic" w:cstheme="minorHAnsi"/>
          <w:sz w:val="20"/>
          <w:szCs w:val="20"/>
        </w:rPr>
        <w:t>:</w:t>
      </w:r>
    </w:p>
    <w:p w14:paraId="291341D0" w14:textId="77777777" w:rsidR="00332775" w:rsidRDefault="00332775" w:rsidP="00332775">
      <w:pPr>
        <w:tabs>
          <w:tab w:val="left" w:pos="4962"/>
        </w:tabs>
        <w:spacing w:before="240" w:after="120"/>
        <w:ind w:left="4962" w:hanging="48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Minister Funduszy i Polityki Regionalnej</w:t>
      </w:r>
      <w:r>
        <w:rPr>
          <w:rFonts w:ascii="Century Gothic" w:hAnsi="Century Gothic" w:cstheme="minorHAnsi"/>
          <w:sz w:val="20"/>
          <w:szCs w:val="20"/>
        </w:rPr>
        <w:tab/>
        <w:t>(-) Witold Kozłowski</w:t>
      </w:r>
    </w:p>
    <w:p w14:paraId="5D208C01" w14:textId="49D1E322" w:rsidR="00ED4296" w:rsidRDefault="00332775" w:rsidP="00332775">
      <w:pPr>
        <w:tabs>
          <w:tab w:val="left" w:pos="4962"/>
        </w:tabs>
        <w:spacing w:before="240" w:after="120"/>
        <w:ind w:left="4962" w:hanging="48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[pieczęć]</w:t>
      </w:r>
      <w:r>
        <w:rPr>
          <w:rFonts w:ascii="Century Gothic" w:hAnsi="Century Gothic" w:cstheme="minorHAnsi"/>
          <w:sz w:val="20"/>
          <w:szCs w:val="20"/>
        </w:rPr>
        <w:tab/>
        <w:t>Wicemarszałek Województwa Małopolskiego</w:t>
      </w:r>
    </w:p>
    <w:p w14:paraId="44A7FB5F" w14:textId="673D1753" w:rsidR="00ED4296" w:rsidRPr="00187A8A" w:rsidRDefault="00332775" w:rsidP="00332775">
      <w:pPr>
        <w:tabs>
          <w:tab w:val="left" w:pos="4962"/>
        </w:tabs>
        <w:spacing w:before="240" w:after="120"/>
        <w:ind w:left="4962" w:hanging="482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  <w:t>18-12-2025</w:t>
      </w:r>
      <w:r w:rsidR="006C1B40">
        <w:rPr>
          <w:rFonts w:ascii="Century Gothic" w:hAnsi="Century Gothic" w:cstheme="minorHAnsi"/>
          <w:sz w:val="20"/>
          <w:szCs w:val="20"/>
        </w:rPr>
        <w:tab/>
      </w:r>
      <w:r w:rsidR="006C1B40">
        <w:rPr>
          <w:rFonts w:ascii="Century Gothic" w:hAnsi="Century Gothic" w:cstheme="minorHAnsi"/>
          <w:sz w:val="20"/>
          <w:szCs w:val="20"/>
        </w:rPr>
        <w:br/>
      </w:r>
      <w:r>
        <w:rPr>
          <w:rFonts w:ascii="Century Gothic" w:hAnsi="Century Gothic" w:cstheme="minorHAnsi"/>
          <w:sz w:val="20"/>
          <w:szCs w:val="20"/>
        </w:rPr>
        <w:t>_____</w:t>
      </w:r>
      <w:r w:rsidR="00ED4296" w:rsidRPr="00187A8A">
        <w:rPr>
          <w:rFonts w:ascii="Century Gothic" w:hAnsi="Century Gothic" w:cstheme="minorHAnsi"/>
          <w:sz w:val="20"/>
          <w:szCs w:val="20"/>
        </w:rPr>
        <w:t>________________</w:t>
      </w:r>
    </w:p>
    <w:p w14:paraId="34258109" w14:textId="77777777" w:rsidR="006C1B40" w:rsidRDefault="00ED4296" w:rsidP="00ED6DD3">
      <w:pPr>
        <w:spacing w:before="240" w:after="120"/>
        <w:ind w:left="3900" w:firstLine="348"/>
        <w:jc w:val="center"/>
        <w:rPr>
          <w:rFonts w:ascii="Century Gothic" w:hAnsi="Century Gothic" w:cstheme="minorHAnsi"/>
          <w:sz w:val="18"/>
          <w:szCs w:val="18"/>
        </w:rPr>
      </w:pPr>
      <w:r w:rsidRPr="007F6650">
        <w:rPr>
          <w:rFonts w:ascii="Century Gothic" w:hAnsi="Century Gothic" w:cstheme="minorHAnsi"/>
          <w:sz w:val="18"/>
          <w:szCs w:val="18"/>
        </w:rPr>
        <w:t xml:space="preserve">     </w:t>
      </w:r>
      <w:r w:rsidR="007F6650">
        <w:rPr>
          <w:rFonts w:ascii="Century Gothic" w:hAnsi="Century Gothic" w:cstheme="minorHAnsi"/>
          <w:sz w:val="18"/>
          <w:szCs w:val="18"/>
        </w:rPr>
        <w:t xml:space="preserve"> </w:t>
      </w:r>
      <w:r w:rsidRPr="007F6650">
        <w:rPr>
          <w:rFonts w:ascii="Century Gothic" w:hAnsi="Century Gothic" w:cstheme="minorHAnsi"/>
          <w:sz w:val="18"/>
          <w:szCs w:val="18"/>
        </w:rPr>
        <w:t>Data i podpis</w:t>
      </w:r>
    </w:p>
    <w:p w14:paraId="2EBD9570" w14:textId="1ADE1ECB" w:rsidR="006C1B40" w:rsidRDefault="006C1B40" w:rsidP="006C1B40">
      <w:pPr>
        <w:spacing w:before="240" w:after="120"/>
        <w:ind w:left="4956" w:firstLine="6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Zarząd Województwa Małopolskiego </w:t>
      </w:r>
      <w:r>
        <w:rPr>
          <w:rFonts w:ascii="Century Gothic" w:hAnsi="Century Gothic" w:cstheme="minorHAnsi"/>
          <w:sz w:val="20"/>
          <w:szCs w:val="20"/>
        </w:rPr>
        <w:br/>
        <w:t xml:space="preserve">31-156 Kraków, ul. Basztowa 22, </w:t>
      </w:r>
      <w:r>
        <w:rPr>
          <w:rFonts w:ascii="Century Gothic" w:hAnsi="Century Gothic" w:cstheme="minorHAnsi"/>
          <w:sz w:val="20"/>
          <w:szCs w:val="20"/>
        </w:rPr>
        <w:br/>
        <w:t xml:space="preserve">Adres do korespondencji:                             30-017 Kraków, ul. Racławicka 56 </w:t>
      </w:r>
    </w:p>
    <w:p w14:paraId="3A1AC8EC" w14:textId="77777777" w:rsidR="006C1B40" w:rsidRDefault="006C1B40" w:rsidP="006C1B40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                                                                                                [pieczęć]</w:t>
      </w:r>
    </w:p>
    <w:p w14:paraId="49786B17" w14:textId="3EEA0DF0" w:rsidR="00ED6DD3" w:rsidRDefault="00ED6DD3" w:rsidP="00ED6DD3">
      <w:pPr>
        <w:spacing w:before="240" w:after="120"/>
        <w:ind w:left="3900" w:firstLine="34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36C4DC18" w14:textId="77777777" w:rsidR="00BE17D9" w:rsidRDefault="00BE17D9" w:rsidP="00DD7CEA">
      <w:pPr>
        <w:rPr>
          <w:rFonts w:ascii="Century Gothic" w:hAnsi="Century Gothic"/>
          <w:sz w:val="20"/>
          <w:szCs w:val="20"/>
        </w:rPr>
        <w:sectPr w:rsidR="00BE17D9" w:rsidSect="00DD7C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2475237" w14:textId="301528A4" w:rsidR="00DD7CEA" w:rsidRPr="000F5916" w:rsidRDefault="00DD7CEA" w:rsidP="000F5916">
      <w:pPr>
        <w:pStyle w:val="Nagwek3"/>
      </w:pPr>
      <w:r w:rsidRPr="000F5916">
        <w:t xml:space="preserve">Załącznik nr </w:t>
      </w:r>
      <w:r w:rsidR="00ED6DD3" w:rsidRPr="000F5916">
        <w:t>3</w:t>
      </w:r>
    </w:p>
    <w:p w14:paraId="1D9BC12A" w14:textId="77777777" w:rsidR="003A4F26" w:rsidRDefault="003A4F26" w:rsidP="003A4F26">
      <w:pPr>
        <w:spacing w:after="200" w:line="276" w:lineRule="auto"/>
        <w:rPr>
          <w:rFonts w:ascii="Century Gothic" w:hAnsi="Century Gothic" w:cs="Calibri"/>
          <w:bCs/>
          <w:iCs/>
          <w:sz w:val="18"/>
          <w:szCs w:val="18"/>
        </w:rPr>
      </w:pPr>
      <w:r w:rsidRPr="00024BB0">
        <w:rPr>
          <w:rFonts w:ascii="Century Gothic" w:hAnsi="Century Gothic" w:cs="Calibri"/>
          <w:bCs/>
          <w:i/>
          <w:sz w:val="18"/>
          <w:szCs w:val="18"/>
        </w:rPr>
        <w:t>Wykaz przedsięwzięć priorytetowych finansowanych w ramach Programu Regionalnego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Załącznik nr 3"/>
        <w:tblDescription w:val="Tabela zawiera wykaz przedsięwzięć planowanych do realizacji w ramach Programu Regionalnego wraz z informacją o nazwie projektu, beneficjentach oraz źródłach i wartości dofinansowania.&#10;&#10;Wersje alternatywne"/>
      </w:tblPr>
      <w:tblGrid>
        <w:gridCol w:w="562"/>
        <w:gridCol w:w="2587"/>
        <w:gridCol w:w="902"/>
        <w:gridCol w:w="1657"/>
        <w:gridCol w:w="1350"/>
        <w:gridCol w:w="2587"/>
        <w:gridCol w:w="2998"/>
        <w:gridCol w:w="1349"/>
      </w:tblGrid>
      <w:tr w:rsidR="003A4F26" w:rsidRPr="003A4F26" w14:paraId="115801FA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8354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0C08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  <w:t>Nazwa przedsięwzięcia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FB4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  <w:t>Fundusz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62B55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  <w:t>Szacunkowa wartość dofinansowania UE (EUR)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959D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  <w:t>Szacunkowa wartość całkowita (EUR)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2741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  <w:t>Beneficjent / grupa beneficjentów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6D18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  <w:t>Warunki realizacji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073D1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i/>
                <w:sz w:val="18"/>
                <w:szCs w:val="18"/>
              </w:rPr>
              <w:t>Cel Polityki / cel szczegółowy</w:t>
            </w:r>
          </w:p>
        </w:tc>
      </w:tr>
      <w:tr w:rsidR="003A4F26" w:rsidRPr="003A4F26" w14:paraId="3A5F6C55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09E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ED49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  <w:lang w:val="en-GB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  <w:lang w:val="en-GB"/>
              </w:rPr>
              <w:t xml:space="preserve">Business in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  <w:lang w:val="en-GB"/>
              </w:rPr>
              <w:t>Małopolska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  <w:lang w:val="en-GB"/>
              </w:rPr>
              <w:t>. Together for future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B29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24A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20 000 000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EB27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21 052 632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15CB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Małopolska Agencja Rozwoju Regionalnego S.A.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B2E0" w14:textId="77777777" w:rsidR="003A4F26" w:rsidRPr="003A4F26" w:rsidRDefault="003A4F26" w:rsidP="003A4F26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1. Zakres rzeczowy, warunki wsparcia i możliwość realizacji uzależnione od spełnienia uwarunkowań dotyczących zakresu i zasad wsparcia w CP1 – spełnienie warunku podstawowego dla CP1, kwestia korelacji z RIS, zgodność z regułami dotyczącymi pomocy publicznej oraz zasadami dotyczącymi form wsparcia dedykowanych poszczególnym instrumentom wsparcia.</w:t>
            </w:r>
          </w:p>
          <w:p w14:paraId="7EFE0AA5" w14:textId="77777777" w:rsidR="003A4F26" w:rsidRPr="003A4F26" w:rsidRDefault="003A4F26" w:rsidP="003A4F26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2. Realizacja możliwa z uwzględnieniem podejścia popytowego.</w:t>
            </w:r>
          </w:p>
          <w:p w14:paraId="72EB62E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3. </w:t>
            </w:r>
            <w:r w:rsidRPr="003A4F26">
              <w:rPr>
                <w:rFonts w:ascii="Century Gothic" w:eastAsia="Calibri" w:hAnsi="Century Gothic" w:cs="Calibri"/>
                <w:bCs/>
                <w:iCs/>
                <w:sz w:val="18"/>
                <w:szCs w:val="18"/>
              </w:rPr>
              <w:t>Obligatoryjna weryfikacja jakości usług podlegających finansowaniu poprzez akredytację lub kryteria jakościowe.</w:t>
            </w:r>
          </w:p>
          <w:p w14:paraId="4B3D7D8C" w14:textId="31968043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4. Możliwość realizacji w trybie pozakonkursowym po spełnieniu warunków wskazanych w pkt</w:t>
            </w:r>
            <w:r w:rsidR="00CA3F0A">
              <w:rPr>
                <w:rFonts w:ascii="Century Gothic" w:eastAsia="Calibri" w:hAnsi="Century Gothic" w:cs="Calibri"/>
                <w:bCs/>
                <w:sz w:val="18"/>
                <w:szCs w:val="18"/>
              </w:rPr>
              <w:t>.</w:t>
            </w: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 1-3 powyżej.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510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CP1/(iii)</w:t>
            </w:r>
          </w:p>
        </w:tc>
      </w:tr>
      <w:tr w:rsidR="003A4F26" w:rsidRPr="003A4F26" w14:paraId="55AC825C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DD34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1C6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Zarządzanie regionalną inteligentną specjalizacją oraz procesem przedsiębiorczego odkrywania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8C03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B553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5 000 000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FA5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5 263 158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60A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2E094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Zakres rzeczowy, warunki wsparcia i możliwość realizacji uzależnione od spełnienia uwarunkowań dotyczących zakresu i zasad wsparcia w CP1 – spełnienie warunku podstawowego dla CP1, kwestia korelacji z RIS, zgodność z regułami dotyczącymi pomocy publicznej oraz zasadami dotyczącymi form wsparcia dedykowanych poszczególnym instrumentom wsparcia.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E6103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CP1/(i)</w:t>
            </w:r>
          </w:p>
        </w:tc>
      </w:tr>
      <w:tr w:rsidR="003A4F26" w:rsidRPr="003A4F26" w14:paraId="2F3A46EF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EE32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C7C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SPIN – Małopolskie Centra Transferu Wiedzy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C38C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B3B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5 000 000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E08C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5 263 158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410E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 w partnerstwie z jednostkami naukowymi, uczelniami i IOB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B6B3" w14:textId="77777777" w:rsidR="003A4F26" w:rsidRPr="003A4F26" w:rsidRDefault="003A4F26" w:rsidP="003A4F26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1. Zakres rzeczowy, warunki wsparcia i możliwość realizacji uzależnione od spełnienia uwarunkowań dotyczących zakresu i zasad wsparcia w CP1 – spełnienie warunku podstawowego dla CP1, kwestia korelacji z RIS, zgodność z regułami dotyczącymi pomocy publicznej oraz zasadami dotyczącymi form wsparcia dedykowanych poszczególnym instrumentom wsparcia.</w:t>
            </w:r>
          </w:p>
          <w:p w14:paraId="0D05B524" w14:textId="77777777" w:rsidR="003A4F26" w:rsidRPr="003A4F26" w:rsidRDefault="003A4F26" w:rsidP="003A4F26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2. Realizacja możliwa z uwzględnieniem podejścia popytowego.</w:t>
            </w:r>
          </w:p>
          <w:p w14:paraId="2F02DDD3" w14:textId="77777777" w:rsidR="003A4F26" w:rsidRPr="003A4F26" w:rsidRDefault="003A4F26" w:rsidP="003A4F26">
            <w:pPr>
              <w:spacing w:after="120" w:line="276" w:lineRule="auto"/>
              <w:rPr>
                <w:rFonts w:ascii="Calibri" w:eastAsia="Calibri" w:hAnsi="Calibri" w:cs="Times New Roman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3. </w:t>
            </w:r>
            <w:r w:rsidRPr="003A4F26">
              <w:rPr>
                <w:rFonts w:ascii="Century Gothic" w:eastAsia="Calibri" w:hAnsi="Century Gothic" w:cs="Calibri"/>
                <w:bCs/>
                <w:iCs/>
                <w:sz w:val="18"/>
                <w:szCs w:val="18"/>
              </w:rPr>
              <w:t>Obligatoryjna weryfikacja jakości usług podlegających finansowaniu poprzez akredytację lub kryteria jakościowe.</w:t>
            </w:r>
          </w:p>
          <w:p w14:paraId="1C04C6E4" w14:textId="2F823776" w:rsidR="003A4F26" w:rsidRPr="003A4F26" w:rsidRDefault="003A4F26" w:rsidP="003A4F2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3A4F26">
              <w:rPr>
                <w:rFonts w:ascii="Century Gothic" w:eastAsia="Calibri" w:hAnsi="Century Gothic" w:cs="Calibri"/>
                <w:bCs/>
                <w:iCs/>
                <w:sz w:val="18"/>
                <w:szCs w:val="18"/>
              </w:rPr>
              <w:t>4. Możliwość realizacji w trybie</w:t>
            </w: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 pozakonkursowym po spełnieniu warunków wskazanych w pkt</w:t>
            </w:r>
            <w:r w:rsidR="00CA3F0A">
              <w:rPr>
                <w:rFonts w:ascii="Century Gothic" w:eastAsia="Calibri" w:hAnsi="Century Gothic" w:cs="Calibri"/>
                <w:bCs/>
                <w:sz w:val="18"/>
                <w:szCs w:val="18"/>
              </w:rPr>
              <w:t>.</w:t>
            </w: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 1-3 powyżej.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C72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CP1/(i)</w:t>
            </w:r>
          </w:p>
        </w:tc>
      </w:tr>
      <w:tr w:rsidR="003A4F26" w:rsidRPr="003A4F26" w14:paraId="636662AF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01BC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F6B0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Rozwój usług e- zdrowia w Województwie Małopolskim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8D9C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8A8D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10 000 000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36893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11 764 705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FA90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 wraz z partnerami w obszarze e-zdrowia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3E19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1. W celu zapewnienia koordynacji i interoperacyjności projektów w zakresie e-zdrowia lub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telemedycyny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 możliwość realizacji uzależniona od uzyskania odpowiednio pozytywnej opinii ministra właściwego do spraw zdrowia lub zapewnienia zgodności z warunkami określonymi przez Komitet Sterujący do spraw koordynacji wsparcia w sektorze zdrowia.</w:t>
            </w:r>
          </w:p>
          <w:p w14:paraId="2491F6E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2. Możliwość zastosowania rozwiązań BIG DATA w systemie ochrony zdrowia przy zapewnieniu mechanizmów zapobiegających nakładaniu się wsparcia i podwójnemu finansowaniu ze wsparciem oferowanym na poziomie krajowym oraz przy zapewnieniu spójności i komplementarności ze wsparciem na poziomie krajowym.</w:t>
            </w:r>
          </w:p>
          <w:p w14:paraId="0EB90935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3. Możliwość realizacji w trybie pozakonkursowym po spełnieniu warunków wskazanych w pkt. 1 i 2.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2E63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CP1/(ii)</w:t>
            </w:r>
          </w:p>
        </w:tc>
      </w:tr>
      <w:tr w:rsidR="003A4F26" w:rsidRPr="003A4F26" w14:paraId="5C650529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AEE9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0A99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Rozwój Regionalnego Systemu Biuletynów Informacji Publicznej w Małopolsce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3CE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B2B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1 452 588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C5B9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1 708 927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39244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BF1AD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1. W zależności od zakresu projektu konieczne jest uwzględnienie następujących warunków:</w:t>
            </w:r>
          </w:p>
          <w:p w14:paraId="27755F4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a) jeśli w zakres e-usług wchodzą kwestie związane z informacją przestrzenną, projekt wymaga uzgodnienia z Głównym Geodetą Kraju;</w:t>
            </w:r>
          </w:p>
          <w:p w14:paraId="5CD60BF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 xml:space="preserve">b) jeśli przedsięwzięcie stanowi kontynuację wcześniej realizowanych projektów, w tym dotyczy platform e-usług, </w:t>
            </w:r>
            <w:r w:rsidRPr="003A4F26">
              <w:rPr>
                <w:rFonts w:ascii="Century Gothic" w:eastAsia="Calibri" w:hAnsi="Century Gothic" w:cs="Times New Roman"/>
                <w:color w:val="000000"/>
                <w:sz w:val="18"/>
              </w:rPr>
              <w:t>wymagana jest szczegółowa informacja/analiza zasadności wsparcia w kontekście uzupełniania zasobów oraz interoperacyjności</w:t>
            </w:r>
            <w:r w:rsidRPr="003A4F26">
              <w:rPr>
                <w:rFonts w:ascii="Century Gothic" w:eastAsia="Calibri" w:hAnsi="Century Gothic" w:cs="Times New Roman"/>
                <w:sz w:val="18"/>
              </w:rPr>
              <w:t>;</w:t>
            </w:r>
          </w:p>
          <w:p w14:paraId="1A964B1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c) jeśli wnioskodawca będzie aplikował, to w zakresie w jakim będzie to zasadne zapewni synergię i komplementarności w realizowanych projektach;</w:t>
            </w:r>
          </w:p>
          <w:p w14:paraId="12CB7FF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d) konieczność zachowania demarkacji ze wsparciem w obszarze cyfryzacji planowanym w Krajowym Planie Odbudowy.</w:t>
            </w:r>
          </w:p>
          <w:p w14:paraId="23F8A23D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2. Możliwość realizacji w trybie pozakonkursowym po spełnieniu warunków wskazanych w pkt. 1.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B58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CP1/(ii)</w:t>
            </w:r>
          </w:p>
        </w:tc>
      </w:tr>
      <w:tr w:rsidR="003A4F26" w:rsidRPr="003A4F26" w14:paraId="5D9DA8FA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F2C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5565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System komunikacji teletechnicznej Województwa Małopolskiego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DA8F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7B40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1 452 588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2D95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1 708 927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8EC85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66853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1. W zależności od zakresu projektu konieczne jest uwzględnienie następujących warunków:</w:t>
            </w:r>
          </w:p>
          <w:p w14:paraId="6B11026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a) jeśli w zakres e-usług wchodzą kwestie związane z informacją przestrzenną, projekt wymaga uzgodnienia z Głównym Geodetą Kraju;</w:t>
            </w:r>
          </w:p>
          <w:p w14:paraId="0695A2C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 xml:space="preserve">b) jeśli przedsięwzięcie stanowi kontynuację wcześniej realizowanych projektów, w tym dotyczy platform e-usług, </w:t>
            </w:r>
            <w:r w:rsidRPr="003A4F26">
              <w:rPr>
                <w:rFonts w:ascii="Century Gothic" w:eastAsia="Calibri" w:hAnsi="Century Gothic" w:cs="Times New Roman"/>
                <w:color w:val="000000"/>
                <w:sz w:val="18"/>
              </w:rPr>
              <w:t>wymagana jest szczegółowa informacja/analiza zasadności wsparcia w kontekście uzupełniania zasobów oraz interoperacyjności</w:t>
            </w:r>
            <w:r w:rsidRPr="003A4F26">
              <w:rPr>
                <w:rFonts w:ascii="Century Gothic" w:eastAsia="Calibri" w:hAnsi="Century Gothic" w:cs="Times New Roman"/>
                <w:sz w:val="18"/>
              </w:rPr>
              <w:t>;</w:t>
            </w:r>
          </w:p>
          <w:p w14:paraId="3591734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c) jeśli wnioskodawca będzie aplikował, to w zakresie w jakim będzie to zasadne zapewni synergię i komplementarności w realizowanych projektach;</w:t>
            </w:r>
          </w:p>
          <w:p w14:paraId="2800F26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d) konieczność zachowania demarkacji ze wsparciem w obszarze cyfryzacji planowanym w Krajowym Planie Odbudowy.</w:t>
            </w:r>
          </w:p>
          <w:p w14:paraId="475FC09E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2. Możliwość realizacji w trybie pozakonkursowym po spełnieniu warunków wskazanych w pkt. 1.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6D428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CP1/(ii)</w:t>
            </w:r>
          </w:p>
        </w:tc>
      </w:tr>
      <w:tr w:rsidR="003A4F26" w:rsidRPr="003A4F26" w14:paraId="6CD800F6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75A9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68B05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Wdrożenie elektronicznego zarządzania dokumentacją w podmiotach zależnych od Województwa Małopolskiego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024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3D5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1 271 014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438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1 495 311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A2A33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81C65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1. W zależności od zakresu projektu konieczne jest uwzględnienie następujących warunków:</w:t>
            </w:r>
          </w:p>
          <w:p w14:paraId="39A39D7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a) jeśli w zakres e-usług wchodzą kwestie związane z informacją przestrzenną, projekt wymaga uzgodnienia z Głównym Geodetą Kraju;</w:t>
            </w:r>
          </w:p>
          <w:p w14:paraId="54DD13E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 xml:space="preserve">b) jeśli przedsięwzięcie stanowi kontynuację wcześniej realizowanych projektów, w tym dotyczy platform e-usług, </w:t>
            </w:r>
            <w:r w:rsidRPr="003A4F26">
              <w:rPr>
                <w:rFonts w:ascii="Century Gothic" w:eastAsia="Calibri" w:hAnsi="Century Gothic" w:cs="Times New Roman"/>
                <w:color w:val="000000"/>
                <w:sz w:val="18"/>
              </w:rPr>
              <w:t>wymagana jest szczegółowa informacja/analiza zasadności wsparcia w kontekście uzupełniania zasobów oraz interoperacyjności</w:t>
            </w:r>
            <w:r w:rsidRPr="003A4F26">
              <w:rPr>
                <w:rFonts w:ascii="Century Gothic" w:eastAsia="Calibri" w:hAnsi="Century Gothic" w:cs="Times New Roman"/>
                <w:sz w:val="18"/>
              </w:rPr>
              <w:t>;</w:t>
            </w:r>
          </w:p>
          <w:p w14:paraId="40527DA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c) jeśli wnioskodawca będzie aplikował, to w zakresie w jakim będzie to zasadne zapewni synergię i komplementarności w realizowanych projektach;</w:t>
            </w:r>
          </w:p>
          <w:p w14:paraId="37AB7AF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d) konieczność zachowania demarkacji ze wsparciem w obszarze cyfryzacji planowanym w Krajowym Planie Odbudowy.</w:t>
            </w:r>
          </w:p>
          <w:p w14:paraId="4898FC8B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2. Możliwość realizacji w trybie pozakonkursowym po spełnieniu warunków wskazanych w pkt. 1.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1D3DC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CP1/(ii)</w:t>
            </w:r>
          </w:p>
        </w:tc>
      </w:tr>
      <w:tr w:rsidR="003A4F26" w:rsidRPr="003A4F26" w14:paraId="24D2B45D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DF5E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AF8A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Bezpieczny Urząd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1BC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C8E3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8 352 381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71F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9 826 330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86A4B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2921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1. W zależności od zakresu projektu konieczne jest uwzględnienie następujących warunków:</w:t>
            </w:r>
          </w:p>
          <w:p w14:paraId="5BCC5EB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a) jeśli w zakres e-usług wchodzą kwestie związane z informacją przestrzenną, projekt wymaga uzgodnienia z Głównym Geodetą Kraju;</w:t>
            </w:r>
          </w:p>
          <w:p w14:paraId="4A59855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 xml:space="preserve">b) jeśli przedsięwzięcie stanowi kontynuację wcześniej realizowanych projektów, w tym dotyczy platform e-usług, </w:t>
            </w:r>
            <w:r w:rsidRPr="003A4F26">
              <w:rPr>
                <w:rFonts w:ascii="Century Gothic" w:eastAsia="Calibri" w:hAnsi="Century Gothic" w:cs="Times New Roman"/>
                <w:color w:val="000000"/>
                <w:sz w:val="18"/>
              </w:rPr>
              <w:t>wymagana jest szczegółowa informacja/analiza zasadności wsparcia w kontekście uzupełniania zasobów oraz interoperacyjności</w:t>
            </w:r>
            <w:r w:rsidRPr="003A4F26">
              <w:rPr>
                <w:rFonts w:ascii="Century Gothic" w:eastAsia="Calibri" w:hAnsi="Century Gothic" w:cs="Times New Roman"/>
                <w:sz w:val="18"/>
              </w:rPr>
              <w:t>;</w:t>
            </w:r>
          </w:p>
          <w:p w14:paraId="675C462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c) jeśli wnioskodawca będzie aplikował, to w zakresie w jakim będzie to zasadne zapewni synergię i komplementarności w realizowanych projektach;</w:t>
            </w:r>
          </w:p>
          <w:p w14:paraId="59FCE65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d) konieczność zachowania demarkacji ze wsparciem w obszarze cyfryzacji planowanym w Krajowym Planie Odbudowy.</w:t>
            </w:r>
          </w:p>
          <w:p w14:paraId="561D8812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</w:rPr>
              <w:t>2. Możliwość realizacji w sposób niekonkurencyjny po spełnieniu warunków wskazanych w pkt. 1.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A0D0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CP1/(ii)</w:t>
            </w:r>
          </w:p>
        </w:tc>
      </w:tr>
      <w:tr w:rsidR="003A4F26" w:rsidRPr="003A4F26" w14:paraId="78620D5C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2010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bookmarkStart w:id="2" w:name="_Hlk129610518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DC3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color w:val="000000"/>
                <w:sz w:val="18"/>
                <w:szCs w:val="18"/>
              </w:rPr>
              <w:t>Centrum Edukacyjne Odnawialnych Źródeł Energii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CA14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46B0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7 981 220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A88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9 389 671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643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Gmina Krzeszowice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60A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 Light"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 Light"/>
                <w:color w:val="000000"/>
                <w:sz w:val="18"/>
                <w:szCs w:val="18"/>
              </w:rPr>
              <w:t>1. Możliwość realizacji przy zapewnieniu zgodności zakresu rzeczowego i celów projektu z warunkami wsparcia dla projektów w tym obszarze wynikającymi z Umowy Partnerstwa oraz odpowiednio Programu Regionalnego.</w:t>
            </w:r>
          </w:p>
          <w:p w14:paraId="1635DC3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Symbol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Symbol"/>
                <w:sz w:val="18"/>
                <w:szCs w:val="18"/>
              </w:rPr>
              <w:t xml:space="preserve">2. Możliwość realizacji przy zapewnieniu </w:t>
            </w:r>
            <w:r w:rsidRPr="003A4F26">
              <w:rPr>
                <w:rFonts w:ascii="Century Gothic" w:eastAsia="Calibri" w:hAnsi="Century Gothic" w:cs="Calibri"/>
                <w:color w:val="000000"/>
                <w:sz w:val="18"/>
                <w:szCs w:val="18"/>
              </w:rPr>
              <w:t>zgodności z przepisami właściwymi dotyczącymi pomocy publicznej.</w:t>
            </w:r>
          </w:p>
          <w:p w14:paraId="2B4E9D0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Symbol"/>
                <w:sz w:val="18"/>
                <w:szCs w:val="18"/>
              </w:rPr>
              <w:t>3. Możliwość realizacji przy z</w:t>
            </w: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apewnieniu komplementarności wsparcia z poziomem krajowym.</w:t>
            </w:r>
          </w:p>
          <w:p w14:paraId="01EBB87E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Symbol"/>
                <w:sz w:val="18"/>
                <w:szCs w:val="18"/>
              </w:rPr>
              <w:t xml:space="preserve">4. </w:t>
            </w: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Możliwość realizacji w sposób niekonkurencyjny po spełnieniu warunków wskazanych </w:t>
            </w:r>
            <w:r w:rsidRPr="003A4F26">
              <w:rPr>
                <w:rFonts w:ascii="Century Gothic" w:eastAsia="Calibri" w:hAnsi="Century Gothic" w:cs="Wingdings"/>
                <w:color w:val="000000"/>
                <w:sz w:val="18"/>
                <w:szCs w:val="18"/>
              </w:rPr>
              <w:t>w pkt. 1 i 3.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1792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CP2/(i)</w:t>
            </w:r>
          </w:p>
        </w:tc>
        <w:bookmarkEnd w:id="2"/>
      </w:tr>
      <w:tr w:rsidR="003A4F26" w:rsidRPr="003A4F26" w14:paraId="2AD862EC" w14:textId="77777777" w:rsidTr="00CA3F0A">
        <w:trPr>
          <w:trHeight w:val="14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6FBE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contextualSpacing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A67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Pogórzańskie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 Centrum Edukacji Przyrodniczej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EkoMałopolska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CDFE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73F8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2 723 602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A28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3 204 238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45E1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Małopolskie/Zespół Parków Krajobrazowych Województwa Małopolskiego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E5DB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color w:val="000000"/>
                <w:sz w:val="18"/>
                <w:szCs w:val="18"/>
              </w:rPr>
              <w:t>Możliwość realizacji przy zapewnieniu zgodności zakresu rzeczowego i celów projektu z warunkami wsparcia określonymi dla projektów służących edukacji i informacji w zakresie ochrony przyrody i różnorodności biologicznej przewidzianych do realizacji w CP2/(vii).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3CC1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CP2/(vii)</w:t>
            </w:r>
          </w:p>
        </w:tc>
      </w:tr>
      <w:tr w:rsidR="003A4F26" w:rsidRPr="003A4F26" w14:paraId="02E69735" w14:textId="77777777" w:rsidTr="00CA3F0A">
        <w:trPr>
          <w:trHeight w:val="4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BACB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contextualSpacing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5ED6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Jurajskie Centrum Edukacji Przyrodniczej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EkoMałopolska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 i siedziba Oddziału ZPKWM w Krakowie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0E18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8EDD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5 447 205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CC8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6 408 476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7A8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Małopolskie/Zespół Parków Krajobrazowych Województwa Małopolskiego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C0A6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color w:val="000000"/>
                <w:sz w:val="18"/>
                <w:szCs w:val="18"/>
              </w:rPr>
              <w:t>Możliwość realizacji przy zapewnieniu zgodności zakresu rzeczowego i celów projektu z warunkami wsparcia określonymi dla projektów służących edukacji i informacji w zakresie ochrony przyrody i różnorodności biologicznej przewidzianych do realizacji w CP2/(vii).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62E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CP2/(vii)</w:t>
            </w:r>
          </w:p>
        </w:tc>
      </w:tr>
      <w:tr w:rsidR="003A4F26" w:rsidRPr="003A4F26" w14:paraId="127C8AAD" w14:textId="77777777" w:rsidTr="00CA3F0A">
        <w:trPr>
          <w:trHeight w:val="1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8AD1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contextualSpacing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1677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Popradzkie Centrum Edukacji Przyrodniczej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EkoMałopolska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 i siedziba Oddziału ZPKWM w Rytrze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B348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A88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2 178 882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1526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2 563 391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365A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Małopolskie/Zespół Parków Krajobrazowych Województwa Małopolskiego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08E64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color w:val="000000"/>
                <w:sz w:val="18"/>
                <w:szCs w:val="18"/>
              </w:rPr>
              <w:t>Możliwość realizacji przy zapewnieniu zgodności zakresu rzeczowego i celów projektu z warunkami wsparcia określonymi dla projektów służących edukacji i informacji w zakresie ochrony przyrody i różnorodności biologicznej przewidzianych do realizacji w CP2/(vii).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36593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CP2/(vii)</w:t>
            </w:r>
          </w:p>
        </w:tc>
      </w:tr>
      <w:tr w:rsidR="003A4F26" w:rsidRPr="003A4F26" w14:paraId="294A9E2D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D342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5E9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Małopolski dwór – „zielona” odnowa i odbudowa zabytków oraz adaptacja dla nowych funkcji społeczno-gospodarczych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E25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AD0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10 675 000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7AD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12 559 000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E0C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Times New Roman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Projekt partnerski (lider: Muzeum Okręgowe w Nowym Sączu)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52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Zgodnie z Umową Partnerstwa, w przypadku inwestycji w kulturę i turystykę, konieczne jest uzasadnienie działań pod kątem wspierania rozwoju gospodarczego i rozwoju społecznego (zwiększenia spójności społecznej, aktywizacji, włączenia lub innowacji społecznych).</w:t>
            </w:r>
          </w:p>
          <w:p w14:paraId="54F4CDB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  <w:p w14:paraId="4E853123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Możliwość realizacji w sposób niekonkurencyjny po spełnieniu ww. warunków.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DA03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CP4/(vi)</w:t>
            </w:r>
          </w:p>
        </w:tc>
      </w:tr>
      <w:tr w:rsidR="003A4F26" w:rsidRPr="003A4F26" w14:paraId="3E6359CA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EC35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C682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sz w:val="18"/>
                <w:szCs w:val="18"/>
              </w:rPr>
              <w:t>Jurajski Geopark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44AC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81E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550 000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13B53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647 059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CDE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Województwo Małopolskie/Zespół Parków Krajobrazowych Województwa Małopolskiego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B60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Zgodnie z Umową Partnerstwa, w przypadku inwestycji w kulturę i turystykę, konieczne jest uzasadnienie działań pod kątem wspierania rozwoju gospodarczego i rozwoju społecznego (zwiększenia spójności społecznej, aktywizacji, włączenia lub innowacji społecznych).</w:t>
            </w:r>
          </w:p>
          <w:p w14:paraId="6313798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  <w:p w14:paraId="7D2A84E9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Możliwość realizacji w sposób niekonkurencyjny po</w:t>
            </w: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spełnieniu ww. warunków.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9E06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CP4/(vi)</w:t>
            </w:r>
          </w:p>
        </w:tc>
      </w:tr>
      <w:tr w:rsidR="003A4F26" w:rsidRPr="003A4F26" w14:paraId="4EC02F1D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69F6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5B21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Pracownicy – najlepsza inwestycja dla firmy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E379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81CE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19 953 052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ADEA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23 474 179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D9B9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Małopolskie/Wojewódzki Urząd Pracy w Krakowie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DCA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1. Wsparcie dla pracodawców w zakresie usług rozwojowych/szkoleń realizowanych na etapie wdrażania konkretnej strategii zarządzania wiekiem u pracodawcy, co do zasady i w miarę dostępności odpowiednich usług, powinno być realizowane poprzez BUR.</w:t>
            </w:r>
          </w:p>
          <w:p w14:paraId="75CBC29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2. Możliwość realizacji przy zapewnieniu braku podwójnego finansowania w stosunku do interwencji krajowej.</w:t>
            </w:r>
          </w:p>
          <w:p w14:paraId="24F5F9F9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3. Decyzja co do trybu realizacji należy do Instytucji Zarządzającej. W przypadku wyboru trybu grantowego IZ zapewni zgodność projektu z zasadami dotyczącymi projektów grantowych.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7F8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CP4/(d)</w:t>
            </w:r>
          </w:p>
        </w:tc>
      </w:tr>
      <w:tr w:rsidR="003A4F26" w:rsidRPr="003A4F26" w14:paraId="7043CE8D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9E8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E21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Zawodowa Małopolska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C3B4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6E0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6 000 000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9152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7 058 823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4B3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978F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1. W zakresie, w jakim przedsięwzięcie obejmuje wsparcie rozwoju zawodowego/branżowego w obszarze kształcenia kadr na potrzeby opieki zdrowotnej wymagana jest akceptacja ministra właściwego do spraw zdrowia dla tego rodzaju wsparcia w projekcie.</w:t>
            </w:r>
          </w:p>
          <w:p w14:paraId="4D319336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2. Możliwość realizacji przy zapewnieniu komplementarności działań z poziomem krajowym.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5A8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CP4/(f)</w:t>
            </w:r>
          </w:p>
        </w:tc>
      </w:tr>
      <w:tr w:rsidR="003A4F26" w:rsidRPr="003A4F26" w14:paraId="528BCAE5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F6AD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3A9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Małopolski program wspierania uczniów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69FE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F31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13 500 000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7380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15 882 352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C7461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6402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trike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Możliwość realizacji przy zapewnieniu, że przedsięwzięcie nie obejmuje wsparcia doktorantów oraz uczestników studiów doktoranckich.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987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CP4/(f)</w:t>
            </w:r>
          </w:p>
        </w:tc>
      </w:tr>
      <w:tr w:rsidR="003A4F26" w:rsidRPr="003A4F26" w14:paraId="201285CA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9FD6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BD1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Małopolski system wspierania transformacji cyfrowej szkół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F02B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DFA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4 200 000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D3D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4 941 176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AFEEE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Województwo Małopolskie/MCDN w partnerstwie z Małopolskim Centrum Nauki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Cogiteon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, Muzeum Lotnictwa Polskiego, instytucje rynku pracy i edukacji, uczelnie wyższe, organizacje pożytku publicznego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B4C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Konieczność zagwarantowania komplementarności wsparcia z poziomem krajowym.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EC2C3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CP4/(f)</w:t>
            </w:r>
          </w:p>
        </w:tc>
      </w:tr>
      <w:tr w:rsidR="003A4F26" w:rsidRPr="003A4F26" w14:paraId="3F7B8388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4CC9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5698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Małopolski Tele-Anioł 2.0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185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5D05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29 785 864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69AC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35 042 193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CCA3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840D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Konieczność zapewnienia spójności i komplementarności z rozwiązaniami z zakresu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telemedycyny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 w ramach przewidzianych mechanizmów koordynacji interwencji w sektorze zdrowia.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E72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CP4/(k)</w:t>
            </w:r>
          </w:p>
        </w:tc>
      </w:tr>
      <w:tr w:rsidR="003A4F26" w:rsidRPr="003A4F26" w14:paraId="7C7DB6B9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D373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8A7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Modernizacja Przychodni Przyklinicznej Narodowego Instytutu Onkologii im. Marii Skłodowskiej-Curie – PIB Oddziale w Krakowie udzielającej świadczeń AOS wraz z niezbędnym wyposażeniem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C19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9D9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3 286 480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EFF3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3 866 447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8A1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Narodowy Instytut Onkologii im. M. Skłodowskiej-Curie Państwowy Instytut Badawczy Oddział w Krakowie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49E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1. W zakresie, w jakim projekt dotyczy e-zdrowia lub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telemedycyny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 – w celu zapewnienia koordynacji i interoperacyjności projektów w zakresie e-zdrowia lub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telemedycyny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 możliwość realizacji uzależniona od uzyskania odpowiednio pozytywnej opinii ministra właściwego do spraw zdrowia lub zapewnienia zgodności z warunkami określonymi przez Komitet Sterujący do spraw koordynacji wsparcia w sektorze zdrowia.</w:t>
            </w:r>
          </w:p>
          <w:p w14:paraId="1B37046F" w14:textId="77777777" w:rsidR="003A4F26" w:rsidRPr="003A4F26" w:rsidRDefault="003A4F26" w:rsidP="003A4F26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eastAsia="Calibri" w:hAnsi="Century Gothic" w:cs="Wingdings"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Wingdings"/>
                <w:color w:val="000000"/>
                <w:sz w:val="18"/>
                <w:szCs w:val="18"/>
              </w:rPr>
              <w:t xml:space="preserve">2. Możliwość realizacji przy zapewnieniu zgodności z warunkami określonymi przez Komitet Sterujący do spraw koordynacji wsparcia w sektorze zdrowia oraz spełnienia warunków wynikających z dokumentów strategicznych w zakresie ochrony zdrowia lub </w:t>
            </w:r>
            <w:proofErr w:type="spellStart"/>
            <w:r w:rsidRPr="003A4F26">
              <w:rPr>
                <w:rFonts w:ascii="Century Gothic" w:eastAsia="Calibri" w:hAnsi="Century Gothic" w:cs="Wingdings"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3A4F26">
              <w:rPr>
                <w:rFonts w:ascii="Century Gothic" w:eastAsia="Calibri" w:hAnsi="Century Gothic" w:cs="Wingdings"/>
                <w:color w:val="000000"/>
                <w:sz w:val="18"/>
                <w:szCs w:val="18"/>
              </w:rPr>
              <w:t>.</w:t>
            </w:r>
          </w:p>
          <w:p w14:paraId="28B1C90D" w14:textId="77777777" w:rsidR="003A4F26" w:rsidRPr="003A4F26" w:rsidRDefault="003A4F26" w:rsidP="003A4F26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Wingdings"/>
                <w:color w:val="000000"/>
                <w:sz w:val="18"/>
                <w:szCs w:val="18"/>
              </w:rPr>
              <w:t>3. Możliwość realizacji przy zapewnieniu rozdzielności wsparcia/finansowania na poziomie poszczególnych projektów ze wsparciem udzielanym w komponencie D Krajowego Planu Odbudowy z jednoczesnym uwzględnieniem uwarunkowań dotyczących odwracania piramidy świadczeń.</w:t>
            </w:r>
          </w:p>
          <w:p w14:paraId="477AD07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4. W zakresie projektu planowanego do realizacji przez Narodowy Instytut Onkologii im. M. Skłodowskiej-Curie Państwowy Instytut Badawczy Oddział w Krakowie konieczne uzgodnienie zakresu rzeczowego i zasad wsparcia z ministrem właściwym do spraw zdrowia jako podmiotu odpowiedzialnego za interwencję w programie krajowym (Fundusze Europejskie na Infrastrukturę, Klimat, Środowisko 2021-2027).</w:t>
            </w:r>
          </w:p>
          <w:p w14:paraId="4D9B34EC" w14:textId="77777777" w:rsidR="003A4F26" w:rsidRPr="003A4F26" w:rsidRDefault="003A4F26" w:rsidP="003A4F26">
            <w:pPr>
              <w:autoSpaceDE w:val="0"/>
              <w:autoSpaceDN w:val="0"/>
              <w:adjustRightInd w:val="0"/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5. Z uwagi na szeroki zakres planowanej inwestycji konieczność zapewnienia mechanizmów zapobiegających podwójnemu finansowaniu i nakładaniu się wsparcia z innymi środkami dostępnymi na poziomie krajowym oraz pozostałymi środkami finansującymi inwestycję.</w:t>
            </w:r>
          </w:p>
          <w:p w14:paraId="564A3293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6. Możliwość realizacji w trybie pozakonkursowym po spełnieniu warunków wskazanych w pkt. 1-5.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205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CP4/(v)</w:t>
            </w:r>
          </w:p>
        </w:tc>
      </w:tr>
      <w:tr w:rsidR="003A4F26" w:rsidRPr="003A4F26" w14:paraId="083FC885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CBB8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3D1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Małopolskie centra usług społecznych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68C5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E2C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4 589 202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5E6F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5 399 061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9DF6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Małopolskie/Regionalny Ośrodek Polityki Społecznej w Krakowie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B63A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Przedsięwzięcie może być realizowane pod warunkiem:</w:t>
            </w:r>
          </w:p>
          <w:p w14:paraId="538BE313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1. Niepowielania działań, które będą realizowane w programie Fundusze Europejskie dla Rozwoju Społecznego w ramach projektów koordynacyjnych ROPS oraz projektu parasolowego Ministerstwa Rodziny i Polityki Społecznej; </w:t>
            </w:r>
          </w:p>
          <w:p w14:paraId="38933A1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2. Zapewnienia, że wsparcie uzyskają wyłącznie gminy, które zdecydowały się na utworzenie CUS w ramach tego przedsięwzięcia/projektu;</w:t>
            </w:r>
          </w:p>
          <w:p w14:paraId="0327D382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3. Zapewnienia zgodności z zasadą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deinstytucjonalizacji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C53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CP4/(k)</w:t>
            </w:r>
          </w:p>
        </w:tc>
      </w:tr>
      <w:tr w:rsidR="003A4F26" w:rsidRPr="003A4F26" w14:paraId="78F42A32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5243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C93C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Po pierwsze Rodzina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F19E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1AB7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7 717 508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C4B1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9 079 422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E25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Małopolskie/Regionalny Ośrodek Polityki Społecznej w Krakowie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FE8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Projekt może być realizowany pod warunkiem:</w:t>
            </w:r>
          </w:p>
          <w:p w14:paraId="38D3348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1. Niepowielania działań, które będą realizowane w programie Fundusze Europejskie dla Rozwoju Społecznego w ramach projektów koordynacyjnych ROPS oraz projektu parasolowego Ministerstwa Rodziny i Polityki Społecznej.</w:t>
            </w:r>
          </w:p>
          <w:p w14:paraId="1992A3FE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2. Zapewnienia zgodności z zasadą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deinstytucjonalizacji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9FA4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CP4/(k)</w:t>
            </w:r>
          </w:p>
        </w:tc>
      </w:tr>
      <w:tr w:rsidR="003A4F26" w:rsidRPr="003A4F26" w14:paraId="47A7CEFF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B248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B403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Usługa Wrażliwa – małopolski system upowszechniania inicjatyw oddolnych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B191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EF13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1 995 305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8544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2 347 418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5C8F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Małopolskie/Regionalny Ośrodek Polityki Społecznej w Krakowie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C574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1. W celu zapewnienia spójności działań na poziomie krajowym i regionalnym warunkiem realizacji przedsięwzięcia jest uzyskanie zgody Instytucji Koordynującej Umowę Partnerstwa w zakresie EFS+ na upowszechnianie wybranych innowacji oraz zgodność z zasadą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deinstytucjonalizacji</w:t>
            </w:r>
            <w:proofErr w:type="spellEnd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.</w:t>
            </w:r>
          </w:p>
          <w:p w14:paraId="2D2DB9BB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2. Decyzja co do trybu realizacji należy do Instytucji Zarządzającej. W przypadku wyboru trybu grantowego Instytucja Zarządzająca zapewni zgodność projektu z zasadami dotyczącymi projektów grantowych.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FA7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CP4/(k)</w:t>
            </w:r>
          </w:p>
        </w:tc>
      </w:tr>
      <w:tr w:rsidR="003A4F26" w:rsidRPr="003A4F26" w14:paraId="27BFB8E5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DAB7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5C4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Żyj i pracuj w Małopolsce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A3D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DDC2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7 830 933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3795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9 212 863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E3A4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Małopolskie/Wojewódzki Urząd Pracy w Krakowie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D1E9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Wsparcie możliwe do realizacji w sytuacji gdy skierowane będzie do obywateli państw trzecich.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AE7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CP4/(i)</w:t>
            </w:r>
          </w:p>
        </w:tc>
      </w:tr>
      <w:tr w:rsidR="003A4F26" w:rsidRPr="003A4F26" w14:paraId="67C824B0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E79C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60AE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bookmarkStart w:id="3" w:name="_Hlk145595991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Nowy start w Małopolsce z </w:t>
            </w:r>
            <w:proofErr w:type="spellStart"/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EURESem</w:t>
            </w:r>
            <w:bookmarkEnd w:id="3"/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722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EC2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1 400 000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DA32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1 647 059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18B4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Małopolskie/Wojewódzki Urząd Pracy w Krakowie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8AAEC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Zgodnie z załącznikiem nr 33 do Kontraktu projekt otrzyma dofinansowanie z budżetu państwa (10%).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2118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CP4/(a)</w:t>
            </w:r>
          </w:p>
        </w:tc>
      </w:tr>
      <w:tr w:rsidR="003A4F26" w:rsidRPr="003A4F26" w14:paraId="237EF59E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654F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F345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Małopolski pociąg do kariery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6AC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982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27 500 000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092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32 352 941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BEA99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Małopolskie/Wojewódzki Urząd Pracy w Krakowie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D51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71B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CP4/(g)</w:t>
            </w:r>
          </w:p>
        </w:tc>
      </w:tr>
      <w:tr w:rsidR="003A4F26" w:rsidRPr="003A4F26" w14:paraId="71665967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6A57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9716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Przygotowanie terenów inwestycyjnych oraz budowa nowoczesnych obiektów umożliwiających handel artykułami rolno-spożywczymi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1836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8BE3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18 703 000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5674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37 406 000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799C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Podmioty zarządzające terenami inwestycyjnymi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4689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1. Możliwość realizacji przy zapewnieniu zgodności z warunkami obowiązującymi inwestycje w CP5, tj. wdrażanie poprzez instrumenty terytorialne w ramach strategii terytorialnej.</w:t>
            </w:r>
          </w:p>
          <w:p w14:paraId="5E4CA91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2. Przed zatwierdzeniem przedsięwzięcia do realizacji konieczne potwierdzenie, że wynika ono z zatwierdzonej strategii terytorialnej, o której mowa w art. 29 rozporządzenia 2021/1060.</w:t>
            </w:r>
          </w:p>
          <w:p w14:paraId="3DFFC174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3. Możliwość realizacji przy zapewnieniu zgodności zakresu rzeczowego i celów projektu z warunkami obowiązującymi inwestycje infrastrukturalne w CP5, wynikającymi w szczególności z wynegocjowanej z Komisją Europejską Umowy Partnerstwa oraz odpowiednio Programu Regionalnego.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60C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CP5/(i)</w:t>
            </w:r>
          </w:p>
        </w:tc>
      </w:tr>
      <w:tr w:rsidR="003A4F26" w:rsidRPr="003A4F26" w14:paraId="133BB782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BD93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A5AB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Wsparcie transformacji energetycznej gmin województwa małopolskiego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14EF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E2169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4 347 826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472E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5 115 089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95693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F78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6E3B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CP2/(i)</w:t>
            </w:r>
          </w:p>
        </w:tc>
      </w:tr>
      <w:tr w:rsidR="003A4F26" w:rsidRPr="003A4F26" w14:paraId="7DF19C53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B4CA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9CEB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Bon na ratowanie – Ochotnicze Pogotowia Ratunkowe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E72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49F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3 300 000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7CE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3 882 352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F93E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B05D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Realizacja przedsięwzięcia powinna przyczynić się do dostosowania służb ratowniczych z terenu województwa małopolskiego do reagowania na zagrożenia wynikające ze zmian klimatycznych, zmian w środowisku naturalnym oraz zagrożeń cywilizacyjnych.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CEC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>CP2/(iv)</w:t>
            </w:r>
          </w:p>
        </w:tc>
      </w:tr>
      <w:tr w:rsidR="003A4F26" w:rsidRPr="003A4F26" w14:paraId="3D0280BE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10AB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34FB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Bon na ratowanie – Straże Pożarne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8584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6BA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13 689 842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424A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 xml:space="preserve">21 061 296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E1B37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6E7F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1. Wsparcie jednostek Ochotniczych Straży Pożarnych należących do Krajowego Systemu Ratowniczo-Gaśniczego.</w:t>
            </w:r>
          </w:p>
          <w:p w14:paraId="374CF606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2. Wsparcie jednostek Ochotniczych Straży Pożarnych ubiegających się o włączenie do Krajowego Systemu Ratowniczo-Gaśniczego w okresie trwałości projektu.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7061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CP2/(iv)</w:t>
            </w:r>
          </w:p>
        </w:tc>
      </w:tr>
      <w:tr w:rsidR="003A4F26" w:rsidRPr="003A4F26" w14:paraId="308970EE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DCAE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BC904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Zakup Elektrycznych Zespołów Trakcyjnych do świadczenia kolejowych usług przewozowych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B751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70C7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45 030 227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957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65 161 387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0B45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8410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Projekt musi wynikać z Regionalnego Planu Transportowego.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E297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CP3/(ii)</w:t>
            </w:r>
          </w:p>
        </w:tc>
      </w:tr>
      <w:tr w:rsidR="003A4F26" w:rsidRPr="003A4F26" w14:paraId="4BD1965E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24DE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91A49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Budowa i wyposażenie zaplecza technicznego w stacji Oświęcim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240DB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DF56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5 719 565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AE8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8 331 019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158F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Koleje Małopolskie Sp. z o.o.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313F3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Projekt musi wynikać z Regionalnego Planu Transportowego.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114A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CP3/(ii)</w:t>
            </w:r>
          </w:p>
        </w:tc>
      </w:tr>
      <w:tr w:rsidR="003A4F26" w:rsidRPr="003A4F26" w14:paraId="2A0B7681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763B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865C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Zakup nowoczesnych autobusów do obsługi przewozów o charakterze użyteczności publicznej w ramach Autobusowych Linii Dowozowych (ALD) wraz ze świadczeniem usług serwisowych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5317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87FD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4 170 000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D6FD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4 905 882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85403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Koleje Małopolskie Sp. z o.o.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BC6D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Projekt musi wynikać z Regionalnego Planu Transportowego.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6FD9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CP3/(ii)</w:t>
            </w:r>
          </w:p>
        </w:tc>
      </w:tr>
      <w:tr w:rsidR="003A4F26" w:rsidRPr="003A4F26" w14:paraId="51872DEB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F4E1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81030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Sieciowanie, współpraca oraz monitoring wdrażania Funduszu na rzecz Sprawiedliwej Transformacji w województwie małopolskim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1E0F8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FST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7AA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2 000 000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9250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2 352 941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2CB6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Województwo Małopolskie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D4B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9F6A1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CP6/(i)</w:t>
            </w:r>
          </w:p>
        </w:tc>
      </w:tr>
      <w:tr w:rsidR="003A4F26" w:rsidRPr="003A4F26" w14:paraId="48EDC775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6963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CCB7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Budowa Centrum Szkoleniowo-Treningowego Komendy Wojewódzkiej Policji w Krakowie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427A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0C6E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5 000 000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8C1D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12 154 488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F832" w14:textId="2C7FBD54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Sk</w:t>
            </w:r>
            <w:r w:rsidR="000E2331">
              <w:rPr>
                <w:rFonts w:ascii="Century Gothic" w:eastAsia="Calibri" w:hAnsi="Century Gothic" w:cs="Calibri"/>
                <w:bCs/>
                <w:sz w:val="18"/>
                <w:szCs w:val="18"/>
              </w:rPr>
              <w:t>arb Państwa – Komenda Wojewódzk</w:t>
            </w: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a Policji w Krakowie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70D4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469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CP4/(ii)</w:t>
            </w:r>
          </w:p>
        </w:tc>
      </w:tr>
      <w:tr w:rsidR="003A4F26" w:rsidRPr="003A4F26" w14:paraId="0E23BD49" w14:textId="77777777" w:rsidTr="00CA3F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A5D9" w14:textId="77777777" w:rsidR="003A4F26" w:rsidRPr="003A4F26" w:rsidRDefault="003A4F26" w:rsidP="003A4F26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6793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Turystyka górska na małopolskich szlakach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41E7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0A0C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5 916 722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1AA5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8 002 460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ECD4" w14:textId="77777777" w:rsidR="003A4F26" w:rsidRPr="003A4F26" w:rsidRDefault="003A4F26" w:rsidP="003A4F26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Projekt partnerski (lider projektu: Polskie Towarzystwo Turystyczno-Krajobrazowe)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2D40" w14:textId="77777777" w:rsidR="00F8220F" w:rsidRPr="003A4F26" w:rsidRDefault="00F8220F" w:rsidP="00F8220F">
            <w:pPr>
              <w:spacing w:after="120" w:line="276" w:lineRule="auto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Zgodnie z Umową Partnerstwa, w przypadku inwestycji w kulturę i turystykę, konieczne jest uzasadnienie działań pod kątem wspierania rozwoju gospodarczego i rozwoju społecznego (zwiększenia spójności społecznej, aktywizacji, włączenia lub innowacji społecznych).</w:t>
            </w:r>
          </w:p>
          <w:p w14:paraId="215EC140" w14:textId="77777777" w:rsidR="00F8220F" w:rsidRPr="003A4F26" w:rsidRDefault="00F8220F" w:rsidP="00F8220F">
            <w:pPr>
              <w:spacing w:after="120" w:line="276" w:lineRule="auto"/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Arial"/>
                <w:color w:val="000000"/>
                <w:sz w:val="18"/>
                <w:szCs w:val="18"/>
              </w:rPr>
              <w:t>Inwestycje te powinny odpowiadać także na wyzwania zielonej i cyfrowej transformacji oraz powinny sprzyjać włączaniu różnych grup odbiorców.</w:t>
            </w:r>
          </w:p>
          <w:p w14:paraId="01396666" w14:textId="4B28754A" w:rsidR="003A4F26" w:rsidRPr="003A4F26" w:rsidRDefault="00F8220F" w:rsidP="00F8220F">
            <w:pPr>
              <w:spacing w:after="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Możliwość realizacji w sposób niekonkurencyjny po</w:t>
            </w:r>
            <w:r w:rsidRPr="003A4F26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 spełnieniu ww. warunków.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1852" w14:textId="77777777" w:rsidR="003A4F26" w:rsidRPr="003A4F26" w:rsidRDefault="003A4F26" w:rsidP="003A4F26">
            <w:pPr>
              <w:spacing w:after="120" w:line="276" w:lineRule="auto"/>
              <w:rPr>
                <w:rFonts w:ascii="Century Gothic" w:eastAsia="Calibri" w:hAnsi="Century Gothic" w:cs="Calibri"/>
                <w:bCs/>
                <w:sz w:val="18"/>
                <w:szCs w:val="18"/>
              </w:rPr>
            </w:pPr>
            <w:r w:rsidRPr="003A4F26">
              <w:rPr>
                <w:rFonts w:ascii="Century Gothic" w:eastAsia="Calibri" w:hAnsi="Century Gothic" w:cs="Calibri"/>
                <w:bCs/>
                <w:sz w:val="18"/>
                <w:szCs w:val="18"/>
              </w:rPr>
              <w:t>CP4/(vi)</w:t>
            </w:r>
          </w:p>
        </w:tc>
      </w:tr>
    </w:tbl>
    <w:p w14:paraId="3479A2EE" w14:textId="77777777" w:rsidR="00DD7CEA" w:rsidRPr="00DD7CEA" w:rsidRDefault="00DD7CEA" w:rsidP="00DD7CEA">
      <w:pPr>
        <w:spacing w:after="120" w:line="240" w:lineRule="auto"/>
        <w:jc w:val="both"/>
        <w:rPr>
          <w:rFonts w:ascii="Century Gothic" w:eastAsia="Times New Roman" w:hAnsi="Century Gothic" w:cs="Calibri"/>
          <w:bCs/>
          <w:iCs/>
          <w:sz w:val="18"/>
          <w:szCs w:val="18"/>
          <w:lang w:eastAsia="pl-PL"/>
        </w:rPr>
      </w:pPr>
    </w:p>
    <w:sectPr w:rsidR="00DD7CEA" w:rsidRPr="00DD7CEA" w:rsidSect="003A4F2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C1F4C" w14:textId="77777777" w:rsidR="001B245A" w:rsidRDefault="001B245A" w:rsidP="00BA6CB9">
      <w:pPr>
        <w:spacing w:after="0" w:line="240" w:lineRule="auto"/>
      </w:pPr>
      <w:r>
        <w:separator/>
      </w:r>
    </w:p>
  </w:endnote>
  <w:endnote w:type="continuationSeparator" w:id="0">
    <w:p w14:paraId="6C3BC17A" w14:textId="77777777" w:rsidR="001B245A" w:rsidRDefault="001B245A" w:rsidP="00BA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1B5A1" w14:textId="77777777" w:rsidR="00332775" w:rsidRDefault="003327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035309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p w14:paraId="5F8E7902" w14:textId="081CBE61" w:rsidR="00332775" w:rsidRPr="00C97288" w:rsidRDefault="00332775" w:rsidP="0037742A">
        <w:pPr>
          <w:pStyle w:val="Stopka"/>
          <w:jc w:val="right"/>
          <w:rPr>
            <w:rFonts w:ascii="Century Gothic" w:hAnsi="Century Gothic"/>
            <w:sz w:val="20"/>
            <w:szCs w:val="20"/>
          </w:rPr>
        </w:pPr>
        <w:r w:rsidRPr="00C97288">
          <w:rPr>
            <w:rFonts w:ascii="Century Gothic" w:hAnsi="Century Gothic"/>
            <w:sz w:val="20"/>
            <w:szCs w:val="20"/>
          </w:rPr>
          <w:fldChar w:fldCharType="begin"/>
        </w:r>
        <w:r w:rsidRPr="00C97288">
          <w:rPr>
            <w:rFonts w:ascii="Century Gothic" w:hAnsi="Century Gothic"/>
            <w:sz w:val="20"/>
            <w:szCs w:val="20"/>
          </w:rPr>
          <w:instrText>PAGE   \* MERGEFORMAT</w:instrText>
        </w:r>
        <w:r w:rsidRPr="00C97288">
          <w:rPr>
            <w:rFonts w:ascii="Century Gothic" w:hAnsi="Century Gothic"/>
            <w:sz w:val="20"/>
            <w:szCs w:val="20"/>
          </w:rPr>
          <w:fldChar w:fldCharType="separate"/>
        </w:r>
        <w:r w:rsidR="00E55965">
          <w:rPr>
            <w:rFonts w:ascii="Century Gothic" w:hAnsi="Century Gothic"/>
            <w:noProof/>
            <w:sz w:val="20"/>
            <w:szCs w:val="20"/>
          </w:rPr>
          <w:t>5</w:t>
        </w:r>
        <w:r w:rsidRPr="00C97288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0C476" w14:textId="77777777" w:rsidR="00332775" w:rsidRDefault="003327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1D85D" w14:textId="77777777" w:rsidR="001B245A" w:rsidRDefault="001B245A" w:rsidP="00BA6CB9">
      <w:pPr>
        <w:spacing w:after="0" w:line="240" w:lineRule="auto"/>
      </w:pPr>
      <w:r>
        <w:separator/>
      </w:r>
    </w:p>
  </w:footnote>
  <w:footnote w:type="continuationSeparator" w:id="0">
    <w:p w14:paraId="13675736" w14:textId="77777777" w:rsidR="001B245A" w:rsidRDefault="001B245A" w:rsidP="00BA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AE9F" w14:textId="4DFA27C9" w:rsidR="00332775" w:rsidRDefault="003327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FA46" w14:textId="10D52908" w:rsidR="00332775" w:rsidRDefault="003327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D595" w14:textId="044108C5" w:rsidR="00332775" w:rsidRDefault="003327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3EB"/>
    <w:multiLevelType w:val="hybridMultilevel"/>
    <w:tmpl w:val="F4AACF44"/>
    <w:lvl w:ilvl="0" w:tplc="0C94FB12">
      <w:start w:val="1"/>
      <w:numFmt w:val="decimal"/>
      <w:pStyle w:val="Listanumerowana"/>
      <w:lvlText w:val="(%1)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  <w:b w:val="0"/>
        <w:i w:val="0"/>
      </w:rPr>
    </w:lvl>
    <w:lvl w:ilvl="1" w:tplc="ABFC9030">
      <w:start w:val="1"/>
      <w:numFmt w:val="lowerLetter"/>
      <w:pStyle w:val="ListNumberLevel2"/>
      <w:lvlText w:val="(%2)"/>
      <w:lvlJc w:val="left"/>
      <w:pPr>
        <w:tabs>
          <w:tab w:val="left" w:pos="1417"/>
        </w:tabs>
        <w:ind w:left="1417" w:hanging="708"/>
      </w:pPr>
      <w:rPr>
        <w:rFonts w:hint="default"/>
        <w:i w:val="0"/>
      </w:rPr>
    </w:lvl>
    <w:lvl w:ilvl="2" w:tplc="EF2626E2">
      <w:start w:val="1"/>
      <w:numFmt w:val="bullet"/>
      <w:pStyle w:val="ListNumberLevel3"/>
      <w:lvlText w:val="–"/>
      <w:lvlJc w:val="left"/>
      <w:pPr>
        <w:tabs>
          <w:tab w:val="left" w:pos="2126"/>
        </w:tabs>
        <w:ind w:left="2126" w:hanging="709"/>
      </w:pPr>
      <w:rPr>
        <w:rFonts w:ascii="Times New Roman" w:hAnsi="Times New Roman" w:hint="default"/>
      </w:rPr>
    </w:lvl>
    <w:lvl w:ilvl="3" w:tplc="15EC6BF2">
      <w:start w:val="1"/>
      <w:numFmt w:val="bullet"/>
      <w:pStyle w:val="ListNumberLevel4"/>
      <w:lvlText w:val=""/>
      <w:lvlJc w:val="left"/>
      <w:pPr>
        <w:tabs>
          <w:tab w:val="left" w:pos="2835"/>
        </w:tabs>
        <w:ind w:left="2835" w:hanging="709"/>
      </w:pPr>
      <w:rPr>
        <w:rFonts w:ascii="Symbol" w:hAnsi="Symbol" w:hint="default"/>
      </w:rPr>
    </w:lvl>
    <w:lvl w:ilvl="4" w:tplc="A858BD42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plc="3BE882CA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plc="05DC380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plc="8A9615AA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plc="624C5DF6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230FE"/>
    <w:multiLevelType w:val="hybridMultilevel"/>
    <w:tmpl w:val="9AE27A1A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13DF"/>
    <w:multiLevelType w:val="hybridMultilevel"/>
    <w:tmpl w:val="23865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47871"/>
    <w:multiLevelType w:val="hybridMultilevel"/>
    <w:tmpl w:val="B0AC544C"/>
    <w:lvl w:ilvl="0" w:tplc="7D4C3DCA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9444E6A"/>
    <w:multiLevelType w:val="hybridMultilevel"/>
    <w:tmpl w:val="0504A7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B7B6A"/>
    <w:multiLevelType w:val="hybridMultilevel"/>
    <w:tmpl w:val="E500D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B07A8"/>
    <w:multiLevelType w:val="hybridMultilevel"/>
    <w:tmpl w:val="23865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2396E"/>
    <w:multiLevelType w:val="hybridMultilevel"/>
    <w:tmpl w:val="72E8C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B2617"/>
    <w:multiLevelType w:val="hybridMultilevel"/>
    <w:tmpl w:val="A86CE0E4"/>
    <w:lvl w:ilvl="0" w:tplc="08D09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B7A"/>
    <w:multiLevelType w:val="hybridMultilevel"/>
    <w:tmpl w:val="9A2ABE82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3EB0"/>
    <w:multiLevelType w:val="hybridMultilevel"/>
    <w:tmpl w:val="14BE05F4"/>
    <w:lvl w:ilvl="0" w:tplc="D8C45A20">
      <w:start w:val="1"/>
      <w:numFmt w:val="bullet"/>
      <w:lvlText w:val="-"/>
      <w:lvlJc w:val="left"/>
      <w:pPr>
        <w:ind w:left="1200" w:hanging="360"/>
      </w:pPr>
      <w:rPr>
        <w:rFonts w:ascii="Arial" w:hAnsi="Aria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AA073BC"/>
    <w:multiLevelType w:val="hybridMultilevel"/>
    <w:tmpl w:val="82A2F1B8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E57C4"/>
    <w:multiLevelType w:val="hybridMultilevel"/>
    <w:tmpl w:val="EC3679FC"/>
    <w:lvl w:ilvl="0" w:tplc="5B2049EA">
      <w:start w:val="1"/>
      <w:numFmt w:val="decimal"/>
      <w:lvlText w:val="%1)"/>
      <w:lvlJc w:val="left"/>
      <w:pPr>
        <w:ind w:left="36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042816"/>
    <w:multiLevelType w:val="hybridMultilevel"/>
    <w:tmpl w:val="B2782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62998"/>
    <w:multiLevelType w:val="hybridMultilevel"/>
    <w:tmpl w:val="4B709C72"/>
    <w:lvl w:ilvl="0" w:tplc="3744767A">
      <w:start w:val="1"/>
      <w:numFmt w:val="lowerLetter"/>
      <w:lvlText w:val="%1)"/>
      <w:lvlJc w:val="left"/>
      <w:pPr>
        <w:ind w:left="1068" w:hanging="360"/>
      </w:pPr>
      <w:rPr>
        <w:rFonts w:ascii="Century Gothic" w:hAnsi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5716D0"/>
    <w:multiLevelType w:val="hybridMultilevel"/>
    <w:tmpl w:val="311673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  <w:num w:numId="14">
    <w:abstractNumId w:val="4"/>
  </w:num>
  <w:num w:numId="15">
    <w:abstractNumId w:val="7"/>
  </w:num>
  <w:num w:numId="16">
    <w:abstractNumId w:val="15"/>
  </w:num>
  <w:num w:numId="1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05"/>
    <w:rsid w:val="000010FD"/>
    <w:rsid w:val="00004996"/>
    <w:rsid w:val="0001196F"/>
    <w:rsid w:val="00014E6A"/>
    <w:rsid w:val="000336B1"/>
    <w:rsid w:val="00040361"/>
    <w:rsid w:val="00046DC1"/>
    <w:rsid w:val="00070A59"/>
    <w:rsid w:val="000848E8"/>
    <w:rsid w:val="000967D4"/>
    <w:rsid w:val="000A0F77"/>
    <w:rsid w:val="000A19D0"/>
    <w:rsid w:val="000A1F57"/>
    <w:rsid w:val="000C0127"/>
    <w:rsid w:val="000C136E"/>
    <w:rsid w:val="000C4C9C"/>
    <w:rsid w:val="000D40A2"/>
    <w:rsid w:val="000D45D2"/>
    <w:rsid w:val="000E2331"/>
    <w:rsid w:val="000E544E"/>
    <w:rsid w:val="000F4124"/>
    <w:rsid w:val="000F5916"/>
    <w:rsid w:val="000F5CC5"/>
    <w:rsid w:val="00101769"/>
    <w:rsid w:val="00115601"/>
    <w:rsid w:val="00115C10"/>
    <w:rsid w:val="00121389"/>
    <w:rsid w:val="00122561"/>
    <w:rsid w:val="001263A2"/>
    <w:rsid w:val="00140CAC"/>
    <w:rsid w:val="001573EF"/>
    <w:rsid w:val="00171EB9"/>
    <w:rsid w:val="00172DF5"/>
    <w:rsid w:val="0017371B"/>
    <w:rsid w:val="00182B89"/>
    <w:rsid w:val="001839AD"/>
    <w:rsid w:val="00187A8A"/>
    <w:rsid w:val="00192FDC"/>
    <w:rsid w:val="0019700B"/>
    <w:rsid w:val="001B245A"/>
    <w:rsid w:val="001B40B4"/>
    <w:rsid w:val="001B5A17"/>
    <w:rsid w:val="001C5402"/>
    <w:rsid w:val="001D42E7"/>
    <w:rsid w:val="001D676E"/>
    <w:rsid w:val="001D6FFE"/>
    <w:rsid w:val="001D7BD0"/>
    <w:rsid w:val="001F48F4"/>
    <w:rsid w:val="00211BEE"/>
    <w:rsid w:val="002206E9"/>
    <w:rsid w:val="00223705"/>
    <w:rsid w:val="00227C8A"/>
    <w:rsid w:val="00237EB6"/>
    <w:rsid w:val="002429AC"/>
    <w:rsid w:val="00245A59"/>
    <w:rsid w:val="00246912"/>
    <w:rsid w:val="00246DDD"/>
    <w:rsid w:val="00252897"/>
    <w:rsid w:val="0026312E"/>
    <w:rsid w:val="00263EDC"/>
    <w:rsid w:val="00264785"/>
    <w:rsid w:val="00272668"/>
    <w:rsid w:val="002746E3"/>
    <w:rsid w:val="00277187"/>
    <w:rsid w:val="0028152C"/>
    <w:rsid w:val="0029515F"/>
    <w:rsid w:val="002A7099"/>
    <w:rsid w:val="002C08C0"/>
    <w:rsid w:val="002D35D0"/>
    <w:rsid w:val="002D77CD"/>
    <w:rsid w:val="002E363A"/>
    <w:rsid w:val="002E41FA"/>
    <w:rsid w:val="002E6705"/>
    <w:rsid w:val="002E6C94"/>
    <w:rsid w:val="002F28F9"/>
    <w:rsid w:val="00320350"/>
    <w:rsid w:val="00321D82"/>
    <w:rsid w:val="00322428"/>
    <w:rsid w:val="00324372"/>
    <w:rsid w:val="00332775"/>
    <w:rsid w:val="0033315F"/>
    <w:rsid w:val="003367B2"/>
    <w:rsid w:val="00337BEE"/>
    <w:rsid w:val="0034357D"/>
    <w:rsid w:val="00345730"/>
    <w:rsid w:val="0037742A"/>
    <w:rsid w:val="003803A7"/>
    <w:rsid w:val="00382635"/>
    <w:rsid w:val="00383B29"/>
    <w:rsid w:val="003906F3"/>
    <w:rsid w:val="003935E2"/>
    <w:rsid w:val="003A2C2B"/>
    <w:rsid w:val="003A31C0"/>
    <w:rsid w:val="003A4F26"/>
    <w:rsid w:val="003A74AA"/>
    <w:rsid w:val="003B4279"/>
    <w:rsid w:val="003B45DE"/>
    <w:rsid w:val="003C0EF2"/>
    <w:rsid w:val="003C385B"/>
    <w:rsid w:val="003D02A9"/>
    <w:rsid w:val="003E3274"/>
    <w:rsid w:val="003F3DE7"/>
    <w:rsid w:val="003F4555"/>
    <w:rsid w:val="003F6DD1"/>
    <w:rsid w:val="0041392F"/>
    <w:rsid w:val="004212FA"/>
    <w:rsid w:val="004220A0"/>
    <w:rsid w:val="00423CC9"/>
    <w:rsid w:val="00425CBA"/>
    <w:rsid w:val="00434F1F"/>
    <w:rsid w:val="0044528E"/>
    <w:rsid w:val="004466B8"/>
    <w:rsid w:val="0045075E"/>
    <w:rsid w:val="00455D74"/>
    <w:rsid w:val="0046613D"/>
    <w:rsid w:val="00485627"/>
    <w:rsid w:val="00491250"/>
    <w:rsid w:val="004972FA"/>
    <w:rsid w:val="004A42EE"/>
    <w:rsid w:val="004B29C6"/>
    <w:rsid w:val="004D6AA2"/>
    <w:rsid w:val="004E7896"/>
    <w:rsid w:val="004F6640"/>
    <w:rsid w:val="00505621"/>
    <w:rsid w:val="005067A8"/>
    <w:rsid w:val="005118F1"/>
    <w:rsid w:val="005248EC"/>
    <w:rsid w:val="00525DD1"/>
    <w:rsid w:val="00543E87"/>
    <w:rsid w:val="00547823"/>
    <w:rsid w:val="0055176F"/>
    <w:rsid w:val="00555A9B"/>
    <w:rsid w:val="0056073C"/>
    <w:rsid w:val="00567A66"/>
    <w:rsid w:val="00575C10"/>
    <w:rsid w:val="00582AB2"/>
    <w:rsid w:val="005844D7"/>
    <w:rsid w:val="0059419D"/>
    <w:rsid w:val="00594546"/>
    <w:rsid w:val="005A1BC9"/>
    <w:rsid w:val="005C5174"/>
    <w:rsid w:val="005D12EF"/>
    <w:rsid w:val="005E0D68"/>
    <w:rsid w:val="005E346A"/>
    <w:rsid w:val="005E427A"/>
    <w:rsid w:val="005E5A36"/>
    <w:rsid w:val="005E6986"/>
    <w:rsid w:val="005E7FBC"/>
    <w:rsid w:val="005F0C82"/>
    <w:rsid w:val="00605A7F"/>
    <w:rsid w:val="0060653E"/>
    <w:rsid w:val="00616D11"/>
    <w:rsid w:val="00617818"/>
    <w:rsid w:val="006423E0"/>
    <w:rsid w:val="00646743"/>
    <w:rsid w:val="0065427D"/>
    <w:rsid w:val="006636BB"/>
    <w:rsid w:val="006678F4"/>
    <w:rsid w:val="006712AB"/>
    <w:rsid w:val="006730F7"/>
    <w:rsid w:val="00685868"/>
    <w:rsid w:val="006914CC"/>
    <w:rsid w:val="0069183C"/>
    <w:rsid w:val="006A4C55"/>
    <w:rsid w:val="006A656A"/>
    <w:rsid w:val="006B466F"/>
    <w:rsid w:val="006C00AB"/>
    <w:rsid w:val="006C1B40"/>
    <w:rsid w:val="006D6321"/>
    <w:rsid w:val="006D7F2F"/>
    <w:rsid w:val="006E0784"/>
    <w:rsid w:val="006F39CB"/>
    <w:rsid w:val="006F77C2"/>
    <w:rsid w:val="006F7BF6"/>
    <w:rsid w:val="00727A03"/>
    <w:rsid w:val="0073773C"/>
    <w:rsid w:val="00747F5E"/>
    <w:rsid w:val="00756156"/>
    <w:rsid w:val="00757105"/>
    <w:rsid w:val="00760E42"/>
    <w:rsid w:val="0077341E"/>
    <w:rsid w:val="0077792E"/>
    <w:rsid w:val="00786294"/>
    <w:rsid w:val="007969F0"/>
    <w:rsid w:val="007C7CE6"/>
    <w:rsid w:val="007D0AB0"/>
    <w:rsid w:val="007E087D"/>
    <w:rsid w:val="007E2F0D"/>
    <w:rsid w:val="007E4ACB"/>
    <w:rsid w:val="007E5601"/>
    <w:rsid w:val="007E71F0"/>
    <w:rsid w:val="007F32C6"/>
    <w:rsid w:val="007F6650"/>
    <w:rsid w:val="008119C6"/>
    <w:rsid w:val="00812B91"/>
    <w:rsid w:val="008215CF"/>
    <w:rsid w:val="00831FF1"/>
    <w:rsid w:val="008450DA"/>
    <w:rsid w:val="00850990"/>
    <w:rsid w:val="00853C60"/>
    <w:rsid w:val="00854669"/>
    <w:rsid w:val="00856B0A"/>
    <w:rsid w:val="0086551B"/>
    <w:rsid w:val="00865642"/>
    <w:rsid w:val="00876291"/>
    <w:rsid w:val="008924CB"/>
    <w:rsid w:val="008A0C4E"/>
    <w:rsid w:val="008A34DE"/>
    <w:rsid w:val="008B736D"/>
    <w:rsid w:val="008C4666"/>
    <w:rsid w:val="008D2D05"/>
    <w:rsid w:val="008D5FFE"/>
    <w:rsid w:val="008E6246"/>
    <w:rsid w:val="008F6FA1"/>
    <w:rsid w:val="00901101"/>
    <w:rsid w:val="0092189A"/>
    <w:rsid w:val="00923117"/>
    <w:rsid w:val="0094230A"/>
    <w:rsid w:val="0094572D"/>
    <w:rsid w:val="009510EB"/>
    <w:rsid w:val="00952062"/>
    <w:rsid w:val="0096539B"/>
    <w:rsid w:val="00966254"/>
    <w:rsid w:val="00966663"/>
    <w:rsid w:val="0097684B"/>
    <w:rsid w:val="009833CD"/>
    <w:rsid w:val="009929FA"/>
    <w:rsid w:val="00993F83"/>
    <w:rsid w:val="009A26FE"/>
    <w:rsid w:val="009A5A69"/>
    <w:rsid w:val="009A644E"/>
    <w:rsid w:val="009B19A4"/>
    <w:rsid w:val="009C2B27"/>
    <w:rsid w:val="009D462E"/>
    <w:rsid w:val="009E76B2"/>
    <w:rsid w:val="00A06C24"/>
    <w:rsid w:val="00A06E7E"/>
    <w:rsid w:val="00A10D36"/>
    <w:rsid w:val="00A14EA4"/>
    <w:rsid w:val="00A203AD"/>
    <w:rsid w:val="00A41AD6"/>
    <w:rsid w:val="00A4395E"/>
    <w:rsid w:val="00A66BBC"/>
    <w:rsid w:val="00A718B8"/>
    <w:rsid w:val="00A71CA1"/>
    <w:rsid w:val="00A74E03"/>
    <w:rsid w:val="00A75056"/>
    <w:rsid w:val="00A757A5"/>
    <w:rsid w:val="00A97E62"/>
    <w:rsid w:val="00AA2DA3"/>
    <w:rsid w:val="00AB1701"/>
    <w:rsid w:val="00AC3476"/>
    <w:rsid w:val="00AD4C2A"/>
    <w:rsid w:val="00AD4C7D"/>
    <w:rsid w:val="00AF5636"/>
    <w:rsid w:val="00B01F5F"/>
    <w:rsid w:val="00B06E83"/>
    <w:rsid w:val="00B167E8"/>
    <w:rsid w:val="00B233B4"/>
    <w:rsid w:val="00B239A2"/>
    <w:rsid w:val="00B4274F"/>
    <w:rsid w:val="00B60440"/>
    <w:rsid w:val="00B61051"/>
    <w:rsid w:val="00B67BE5"/>
    <w:rsid w:val="00B70123"/>
    <w:rsid w:val="00B72DB4"/>
    <w:rsid w:val="00B80310"/>
    <w:rsid w:val="00B807ED"/>
    <w:rsid w:val="00B90B9C"/>
    <w:rsid w:val="00B90BFD"/>
    <w:rsid w:val="00B975DB"/>
    <w:rsid w:val="00BA4D96"/>
    <w:rsid w:val="00BA6CB9"/>
    <w:rsid w:val="00BB3DED"/>
    <w:rsid w:val="00BB445F"/>
    <w:rsid w:val="00BC2026"/>
    <w:rsid w:val="00BD0552"/>
    <w:rsid w:val="00BD5CC6"/>
    <w:rsid w:val="00BE17D9"/>
    <w:rsid w:val="00BF2455"/>
    <w:rsid w:val="00C03324"/>
    <w:rsid w:val="00C10298"/>
    <w:rsid w:val="00C45222"/>
    <w:rsid w:val="00C52267"/>
    <w:rsid w:val="00C636C2"/>
    <w:rsid w:val="00C648B6"/>
    <w:rsid w:val="00C77C29"/>
    <w:rsid w:val="00C813F6"/>
    <w:rsid w:val="00C84D35"/>
    <w:rsid w:val="00C8504F"/>
    <w:rsid w:val="00C86E86"/>
    <w:rsid w:val="00C87047"/>
    <w:rsid w:val="00C93DE6"/>
    <w:rsid w:val="00C95E41"/>
    <w:rsid w:val="00C96185"/>
    <w:rsid w:val="00C97288"/>
    <w:rsid w:val="00CA3F0A"/>
    <w:rsid w:val="00CA55D3"/>
    <w:rsid w:val="00CB4E96"/>
    <w:rsid w:val="00CC3451"/>
    <w:rsid w:val="00CD3EE2"/>
    <w:rsid w:val="00CE78DD"/>
    <w:rsid w:val="00CF6F62"/>
    <w:rsid w:val="00CF79F9"/>
    <w:rsid w:val="00D04F48"/>
    <w:rsid w:val="00D06421"/>
    <w:rsid w:val="00D06E11"/>
    <w:rsid w:val="00D173CF"/>
    <w:rsid w:val="00D24066"/>
    <w:rsid w:val="00D351DB"/>
    <w:rsid w:val="00D54450"/>
    <w:rsid w:val="00D65513"/>
    <w:rsid w:val="00D659E3"/>
    <w:rsid w:val="00D66457"/>
    <w:rsid w:val="00D66923"/>
    <w:rsid w:val="00D67721"/>
    <w:rsid w:val="00DA2727"/>
    <w:rsid w:val="00DB3807"/>
    <w:rsid w:val="00DB4854"/>
    <w:rsid w:val="00DD7CEA"/>
    <w:rsid w:val="00DE0D20"/>
    <w:rsid w:val="00DE139B"/>
    <w:rsid w:val="00DF3E1D"/>
    <w:rsid w:val="00E03041"/>
    <w:rsid w:val="00E0665D"/>
    <w:rsid w:val="00E223A4"/>
    <w:rsid w:val="00E24260"/>
    <w:rsid w:val="00E27FC9"/>
    <w:rsid w:val="00E44BDE"/>
    <w:rsid w:val="00E55965"/>
    <w:rsid w:val="00E65F22"/>
    <w:rsid w:val="00E83234"/>
    <w:rsid w:val="00E83FE0"/>
    <w:rsid w:val="00E9665F"/>
    <w:rsid w:val="00E97461"/>
    <w:rsid w:val="00E9753C"/>
    <w:rsid w:val="00EA2EF3"/>
    <w:rsid w:val="00EA4EEA"/>
    <w:rsid w:val="00EB434E"/>
    <w:rsid w:val="00EC4EDD"/>
    <w:rsid w:val="00ED4296"/>
    <w:rsid w:val="00ED579F"/>
    <w:rsid w:val="00ED6DD3"/>
    <w:rsid w:val="00EE1475"/>
    <w:rsid w:val="00EE79F4"/>
    <w:rsid w:val="00EF1367"/>
    <w:rsid w:val="00EF1FFA"/>
    <w:rsid w:val="00F01549"/>
    <w:rsid w:val="00F01800"/>
    <w:rsid w:val="00F14E5E"/>
    <w:rsid w:val="00F17790"/>
    <w:rsid w:val="00F17AD7"/>
    <w:rsid w:val="00F24CB2"/>
    <w:rsid w:val="00F24EB7"/>
    <w:rsid w:val="00F40E60"/>
    <w:rsid w:val="00F53574"/>
    <w:rsid w:val="00F54E9D"/>
    <w:rsid w:val="00F677D9"/>
    <w:rsid w:val="00F76D1B"/>
    <w:rsid w:val="00F8220F"/>
    <w:rsid w:val="00F86125"/>
    <w:rsid w:val="00FB0E6C"/>
    <w:rsid w:val="00FB50AF"/>
    <w:rsid w:val="00FD7645"/>
    <w:rsid w:val="00FE3CCC"/>
    <w:rsid w:val="00FE53B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162368"/>
  <w15:chartTrackingRefBased/>
  <w15:docId w15:val="{BBF6EE8B-B6F4-4E98-B270-6BA5363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5916"/>
    <w:pPr>
      <w:spacing w:before="120" w:after="120" w:line="276" w:lineRule="auto"/>
      <w:jc w:val="center"/>
      <w:outlineLvl w:val="0"/>
    </w:pPr>
    <w:rPr>
      <w:rFonts w:ascii="Century Gothic" w:hAnsi="Century Gothic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9A5A69"/>
    <w:pPr>
      <w:spacing w:before="120" w:after="120" w:line="360" w:lineRule="auto"/>
      <w:jc w:val="center"/>
      <w:outlineLvl w:val="1"/>
    </w:pPr>
    <w:rPr>
      <w:rFonts w:ascii="Century Gothic" w:hAnsi="Century Gothic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F5916"/>
    <w:pPr>
      <w:outlineLvl w:val="2"/>
    </w:pPr>
    <w:rPr>
      <w:rFonts w:ascii="Century Gothic" w:hAnsi="Century Gothic"/>
      <w:sz w:val="2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outlineLvl w:val="3"/>
    </w:pPr>
    <w:rPr>
      <w:rFonts w:ascii="Cambria" w:eastAsia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5"/>
    </w:pPr>
    <w:rPr>
      <w:rFonts w:ascii="Arial" w:eastAsia="Arial" w:hAnsi="Arial" w:cs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7"/>
    </w:pPr>
    <w:rPr>
      <w:rFonts w:ascii="Arial" w:eastAsia="Arial" w:hAnsi="Arial" w:cs="Arial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ist Paragraph_0"/>
    <w:basedOn w:val="Normalny"/>
    <w:link w:val="AkapitzlistZnak"/>
    <w:uiPriority w:val="34"/>
    <w:qFormat/>
    <w:rsid w:val="007571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BA6C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A6CB9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BA6CB9"/>
    <w:rPr>
      <w:vertAlign w:val="superscript"/>
    </w:rPr>
  </w:style>
  <w:style w:type="paragraph" w:styleId="Nagwek">
    <w:name w:val="header"/>
    <w:basedOn w:val="Normalny"/>
    <w:link w:val="NagwekZnak"/>
    <w:unhideWhenUsed/>
    <w:rsid w:val="003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742A"/>
  </w:style>
  <w:style w:type="paragraph" w:styleId="Stopka">
    <w:name w:val="footer"/>
    <w:basedOn w:val="Normalny"/>
    <w:link w:val="StopkaZnak"/>
    <w:uiPriority w:val="99"/>
    <w:unhideWhenUsed/>
    <w:rsid w:val="003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42A"/>
  </w:style>
  <w:style w:type="character" w:styleId="Odwoaniedokomentarza">
    <w:name w:val="annotation reference"/>
    <w:basedOn w:val="Domylnaczcionkaakapitu"/>
    <w:uiPriority w:val="99"/>
    <w:unhideWhenUsed/>
    <w:rsid w:val="00D67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67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67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67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772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0F5916"/>
    <w:rPr>
      <w:rFonts w:ascii="Century Gothic" w:hAnsi="Century Gothic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9A5A69"/>
    <w:rPr>
      <w:rFonts w:ascii="Century Gothic" w:hAnsi="Century Gothic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F5916"/>
    <w:rPr>
      <w:rFonts w:ascii="Century Gothic" w:hAnsi="Century Gothic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semiHidden/>
    <w:rsid w:val="00B90BFD"/>
    <w:rPr>
      <w:rFonts w:ascii="Cambria" w:eastAsia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90BFD"/>
    <w:rPr>
      <w:rFonts w:ascii="Arial" w:eastAsia="Arial" w:hAnsi="Arial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90BFD"/>
    <w:rPr>
      <w:rFonts w:ascii="Arial" w:eastAsia="Arial" w:hAnsi="Arial" w:cs="Arial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B90BFD"/>
    <w:rPr>
      <w:rFonts w:ascii="Arial" w:eastAsia="Arial" w:hAnsi="Arial" w:cs="Arial"/>
      <w:b/>
      <w:bCs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B90BFD"/>
    <w:rPr>
      <w:rFonts w:ascii="Arial" w:eastAsia="Arial" w:hAnsi="Arial" w:cs="Arial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B90BFD"/>
    <w:rPr>
      <w:rFonts w:ascii="Arial" w:eastAsia="Arial" w:hAnsi="Arial" w:cs="Arial"/>
      <w:i/>
      <w:iCs/>
      <w:sz w:val="21"/>
      <w:szCs w:val="21"/>
      <w:lang w:eastAsia="pl-PL"/>
    </w:rPr>
  </w:style>
  <w:style w:type="character" w:customStyle="1" w:styleId="Heading1Char">
    <w:name w:val="Heading 1 Char"/>
    <w:uiPriority w:val="9"/>
    <w:rsid w:val="00B90B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90B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90B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90BFD"/>
    <w:rPr>
      <w:rFonts w:ascii="Arial" w:eastAsia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90BFD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B90BFD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B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B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B90BFD"/>
  </w:style>
  <w:style w:type="character" w:customStyle="1" w:styleId="FooterChar">
    <w:name w:val="Footer Char"/>
    <w:basedOn w:val="Domylnaczcionkaakapitu"/>
    <w:uiPriority w:val="99"/>
    <w:rsid w:val="00B90BFD"/>
  </w:style>
  <w:style w:type="table" w:customStyle="1" w:styleId="TableGridLight1">
    <w:name w:val="Table Grid Light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1">
    <w:name w:val="Grid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1">
    <w:name w:val="Grid Table 4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1">
    <w:name w:val="Grid Table 5 Dark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Tabelasiatki5ciemnaakcent11">
    <w:name w:val="Tabela siatki 5 — ciemna — ak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Tabelasiatki5ciemnaakcent41">
    <w:name w:val="Tabela siatki 5 — ciemna — ak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">
    <w:name w:val="Grid Table 6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">
    <w:name w:val="List Table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1">
    <w:name w:val="List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1">
    <w:name w:val="List Table 5 Dark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">
    <w:name w:val="List Table 6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uiPriority w:val="99"/>
    <w:unhideWhenUsed/>
    <w:rsid w:val="00B90BFD"/>
    <w:rPr>
      <w:color w:val="0000FF"/>
      <w:u w:val="single"/>
    </w:rPr>
  </w:style>
  <w:style w:type="character" w:customStyle="1" w:styleId="FootnoteTextChar">
    <w:name w:val="Footnote Text Char"/>
    <w:uiPriority w:val="99"/>
    <w:rsid w:val="00B90BFD"/>
    <w:rPr>
      <w:sz w:val="18"/>
    </w:rPr>
  </w:style>
  <w:style w:type="paragraph" w:styleId="Spistreci1">
    <w:name w:val="toc 1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90BF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90BF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2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B90B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 Ola,Numbering - Footnote,ftref,Odwołanie przypisu,EN Footnote Reference,Times 10 Point,Exposant 3 Point,Footnote symbol,Footnote reference number,note TESI,stylish,Footnote Reference Number,SUPERS,Ref,number"/>
    <w:uiPriority w:val="99"/>
    <w:rsid w:val="00B90BFD"/>
    <w:rPr>
      <w:vertAlign w:val="superscript"/>
    </w:rPr>
  </w:style>
  <w:style w:type="paragraph" w:styleId="Mapadokumentu">
    <w:name w:val="Document Map"/>
    <w:basedOn w:val="Normalny"/>
    <w:link w:val="Mapadokumentu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B90BFD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ZnakZnak">
    <w:name w:val="Znak Znak"/>
    <w:basedOn w:val="Normalny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90BFD"/>
  </w:style>
  <w:style w:type="paragraph" w:customStyle="1" w:styleId="Default">
    <w:name w:val="Default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qFormat/>
    <w:rsid w:val="00B90BFD"/>
    <w:rPr>
      <w:b/>
      <w:bCs/>
    </w:rPr>
  </w:style>
  <w:style w:type="character" w:styleId="Uwydatnienie">
    <w:name w:val="Emphasis"/>
    <w:qFormat/>
    <w:rsid w:val="00B90BFD"/>
    <w:rPr>
      <w:i/>
      <w:iCs/>
    </w:rPr>
  </w:style>
  <w:style w:type="paragraph" w:styleId="NormalnyWeb">
    <w:name w:val="Normal (Web)"/>
    <w:basedOn w:val="Normalny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uchili">
    <w:name w:val="luc_hili"/>
    <w:rsid w:val="00B90BFD"/>
  </w:style>
  <w:style w:type="paragraph" w:styleId="Listanumerowana">
    <w:name w:val="List Number"/>
    <w:basedOn w:val="Normalny"/>
    <w:uiPriority w:val="99"/>
    <w:rsid w:val="00B90BFD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ny"/>
    <w:rsid w:val="00B90BFD"/>
    <w:pPr>
      <w:numPr>
        <w:ilvl w:val="1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ny"/>
    <w:rsid w:val="00B90BFD"/>
    <w:pPr>
      <w:numPr>
        <w:ilvl w:val="2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ny"/>
    <w:rsid w:val="00B90BFD"/>
    <w:pPr>
      <w:numPr>
        <w:ilvl w:val="3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B90B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90BFD"/>
    <w:rPr>
      <w:rFonts w:ascii="EUAlbertina" w:hAnsi="EUAlbertina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ListTable4-Accent510">
    <w:name w:val="List Table 4 - Accent 510"/>
    <w:basedOn w:val="Standardowy"/>
    <w:uiPriority w:val="99"/>
    <w:rsid w:val="00B90BFD"/>
    <w:pPr>
      <w:spacing w:after="0" w:line="240" w:lineRule="auto"/>
    </w:pPr>
    <w:rPr>
      <w:rFonts w:ascii="Calibri" w:eastAsia="Calibri" w:hAnsi="Calibri" w:cs="Calibri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numbering" w:customStyle="1" w:styleId="Bezlisty1">
    <w:name w:val="Bez listy1"/>
    <w:next w:val="Bezlisty"/>
    <w:uiPriority w:val="99"/>
    <w:semiHidden/>
    <w:unhideWhenUsed/>
    <w:rsid w:val="00B90BFD"/>
  </w:style>
  <w:style w:type="table" w:customStyle="1" w:styleId="Tabela-Siatka1">
    <w:name w:val="Tabela - Siatka1"/>
    <w:basedOn w:val="Standardowy"/>
    <w:next w:val="Tabela-Siatka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sw tekst Znak,Kolorowa lista — akcent 11 Znak,List Paragraph_0 Znak"/>
    <w:link w:val="Akapitzlist"/>
    <w:uiPriority w:val="34"/>
    <w:qFormat/>
    <w:locked/>
    <w:rsid w:val="00B90BFD"/>
  </w:style>
  <w:style w:type="paragraph" w:customStyle="1" w:styleId="USTustnpkodeksu">
    <w:name w:val="UST(§) – ust. (§ np. kodeksu)"/>
    <w:basedOn w:val="Normalny"/>
    <w:uiPriority w:val="12"/>
    <w:qFormat/>
    <w:rsid w:val="00B90BF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customStyle="1" w:styleId="GridTable5Dark-Accent1">
    <w:name w:val="Grid Table 5 Dark- Accent 1"/>
    <w:basedOn w:val="Standardowy"/>
    <w:uiPriority w:val="99"/>
    <w:rsid w:val="008C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4">
    <w:name w:val="Grid Table 5 Dark- Accent 4"/>
    <w:basedOn w:val="Standardowy"/>
    <w:uiPriority w:val="99"/>
    <w:rsid w:val="008C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ListTable4-Accent511">
    <w:name w:val="List Table 4 - Accent 511"/>
    <w:basedOn w:val="Standardowy"/>
    <w:uiPriority w:val="99"/>
    <w:rsid w:val="008C4666"/>
    <w:pPr>
      <w:spacing w:after="0" w:line="240" w:lineRule="auto"/>
    </w:pPr>
    <w:rPr>
      <w:rFonts w:ascii="Calibri" w:eastAsia="Calibri" w:hAnsi="Calibri" w:cs="Calibri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character" w:customStyle="1" w:styleId="markedcontent">
    <w:name w:val="markedcontent"/>
    <w:rsid w:val="008C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0D48-80E1-496C-B8F7-521BAB05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3627</Words>
  <Characters>21767</Characters>
  <Application>Microsoft Office Word</Application>
  <DocSecurity>0</DocSecurity>
  <Lines>181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>Aneks nr 5 do Kontraktu Programowego dla Województwa Małopolskiego</vt:lpstr>
      <vt:lpstr>ANEKS NR 5</vt:lpstr>
      <vt:lpstr>DO KONTRAKTU PROGRAMOWEGO DLA WOJEWÓDZTWA MAŁOPOLSKIEGO</vt:lpstr>
      <vt:lpstr/>
      <vt:lpstr>    Art. 1</vt:lpstr>
      <vt:lpstr>    Art. 2</vt:lpstr>
      <vt:lpstr>    Art. 3</vt:lpstr>
      <vt:lpstr>    Art. 4</vt:lpstr>
      <vt:lpstr>    Art. 5</vt:lpstr>
      <vt:lpstr>        Załącznik nr 3</vt:lpstr>
    </vt:vector>
  </TitlesOfParts>
  <Company/>
  <LinksUpToDate>false</LinksUpToDate>
  <CharactersWithSpaces>25344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5 do Kontraktu Programowego dla Województwa Małopolskiego</dc:title>
  <dc:subject/>
  <dc:creator>Sieradzon Wojciech</dc:creator>
  <cp:keywords/>
  <dc:description/>
  <cp:lastModifiedBy>RR</cp:lastModifiedBy>
  <cp:revision>5</cp:revision>
  <cp:lastPrinted>2023-05-09T09:18:00Z</cp:lastPrinted>
  <dcterms:created xsi:type="dcterms:W3CDTF">2025-12-23T10:48:00Z</dcterms:created>
  <dcterms:modified xsi:type="dcterms:W3CDTF">2025-12-23T14:44:00Z</dcterms:modified>
</cp:coreProperties>
</file>